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D56" w:rsidRDefault="001412FE" w:rsidP="0086516C">
      <w:pPr>
        <w:pStyle w:val="Heading1"/>
      </w:pPr>
      <w:r w:rsidRPr="0032028E">
        <w:drawing>
          <wp:anchor distT="0" distB="0" distL="114300" distR="114300" simplePos="0" relativeHeight="251657728" behindDoc="1" locked="0" layoutInCell="1" allowOverlap="1" wp14:anchorId="67E6ED2D" wp14:editId="7B8002D3">
            <wp:simplePos x="0" y="0"/>
            <wp:positionH relativeFrom="margin">
              <wp:posOffset>4910138</wp:posOffset>
            </wp:positionH>
            <wp:positionV relativeFrom="paragraph">
              <wp:posOffset>-521970</wp:posOffset>
            </wp:positionV>
            <wp:extent cx="1293962" cy="851292"/>
            <wp:effectExtent l="0" t="0" r="1905" b="6350"/>
            <wp:wrapNone/>
            <wp:docPr id="2" name="Picture 2" title="AUSTR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c-logo-gr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3962" cy="851292"/>
                    </a:xfrm>
                    <a:prstGeom prst="rect">
                      <a:avLst/>
                    </a:prstGeom>
                  </pic:spPr>
                </pic:pic>
              </a:graphicData>
            </a:graphic>
            <wp14:sizeRelH relativeFrom="page">
              <wp14:pctWidth>0</wp14:pctWidth>
            </wp14:sizeRelH>
            <wp14:sizeRelV relativeFrom="page">
              <wp14:pctHeight>0</wp14:pctHeight>
            </wp14:sizeRelV>
          </wp:anchor>
        </w:drawing>
      </w:r>
      <w:r w:rsidR="00536D56" w:rsidRPr="00536D56">
        <w:t>Role Specification</w:t>
      </w:r>
    </w:p>
    <w:p w:rsidR="00536D56" w:rsidRPr="00B13FD5" w:rsidRDefault="00536D56" w:rsidP="00135D77">
      <w:pPr>
        <w:spacing w:after="0" w:line="240" w:lineRule="auto"/>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ole details"/>
        <w:tblDescription w:val="Role details"/>
      </w:tblPr>
      <w:tblGrid>
        <w:gridCol w:w="3302"/>
        <w:gridCol w:w="5714"/>
      </w:tblGrid>
      <w:tr w:rsidR="00536D56" w:rsidRPr="000B0852" w:rsidTr="00252608">
        <w:trPr>
          <w:trHeight w:val="703"/>
          <w:tblHeader/>
        </w:trPr>
        <w:tc>
          <w:tcPr>
            <w:tcW w:w="3302" w:type="dxa"/>
            <w:tcBorders>
              <w:right w:val="nil"/>
            </w:tcBorders>
            <w:shd w:val="clear" w:color="auto" w:fill="404040"/>
            <w:vAlign w:val="center"/>
          </w:tcPr>
          <w:p w:rsidR="00536D56" w:rsidRPr="00903CA4" w:rsidRDefault="00536D56" w:rsidP="00135D77">
            <w:pPr>
              <w:spacing w:after="0" w:line="240" w:lineRule="auto"/>
              <w:rPr>
                <w:b/>
                <w:color w:val="FFFFFF"/>
              </w:rPr>
            </w:pPr>
            <w:r w:rsidRPr="00903CA4">
              <w:rPr>
                <w:b/>
                <w:color w:val="FFFFFF"/>
              </w:rPr>
              <w:t>ROLE DETAILS</w:t>
            </w:r>
          </w:p>
        </w:tc>
        <w:tc>
          <w:tcPr>
            <w:tcW w:w="5714" w:type="dxa"/>
            <w:tcBorders>
              <w:left w:val="nil"/>
            </w:tcBorders>
            <w:shd w:val="clear" w:color="auto" w:fill="404040"/>
            <w:vAlign w:val="center"/>
          </w:tcPr>
          <w:p w:rsidR="00536D56" w:rsidRPr="000B0852" w:rsidRDefault="00536D56" w:rsidP="00135D77">
            <w:pPr>
              <w:spacing w:after="0" w:line="240" w:lineRule="auto"/>
              <w:rPr>
                <w:b/>
                <w:color w:val="FFFFFF"/>
              </w:rPr>
            </w:pPr>
          </w:p>
        </w:tc>
      </w:tr>
      <w:tr w:rsidR="00536D56" w:rsidRPr="000B0852" w:rsidTr="0086516C">
        <w:trPr>
          <w:trHeight w:val="454"/>
        </w:trPr>
        <w:tc>
          <w:tcPr>
            <w:tcW w:w="3302" w:type="dxa"/>
            <w:shd w:val="clear" w:color="auto" w:fill="F2F2F2"/>
            <w:vAlign w:val="center"/>
          </w:tcPr>
          <w:p w:rsidR="00536D56" w:rsidRPr="00B17E83" w:rsidRDefault="00536D56" w:rsidP="00135D77">
            <w:pPr>
              <w:spacing w:after="0" w:line="240" w:lineRule="auto"/>
            </w:pPr>
            <w:r w:rsidRPr="00B17E83">
              <w:t>Title</w:t>
            </w:r>
          </w:p>
        </w:tc>
        <w:tc>
          <w:tcPr>
            <w:tcW w:w="5714" w:type="dxa"/>
            <w:shd w:val="clear" w:color="auto" w:fill="auto"/>
            <w:vAlign w:val="center"/>
          </w:tcPr>
          <w:p w:rsidR="00536D56" w:rsidRPr="000B0852" w:rsidRDefault="002C485C" w:rsidP="002C485C">
            <w:pPr>
              <w:spacing w:after="0" w:line="240" w:lineRule="auto"/>
            </w:pPr>
            <w:r>
              <w:t>Manager</w:t>
            </w:r>
            <w:r w:rsidR="007F32C1">
              <w:t>,</w:t>
            </w:r>
            <w:r>
              <w:t xml:space="preserve"> Learning and Development  </w:t>
            </w:r>
          </w:p>
        </w:tc>
      </w:tr>
      <w:tr w:rsidR="00536D56" w:rsidRPr="000B0852" w:rsidTr="0086516C">
        <w:trPr>
          <w:trHeight w:val="454"/>
        </w:trPr>
        <w:tc>
          <w:tcPr>
            <w:tcW w:w="3302" w:type="dxa"/>
            <w:shd w:val="clear" w:color="auto" w:fill="F2F2F2"/>
            <w:vAlign w:val="center"/>
          </w:tcPr>
          <w:p w:rsidR="00536D56" w:rsidRPr="00B17E83" w:rsidRDefault="00536D56" w:rsidP="00135D77">
            <w:pPr>
              <w:spacing w:after="0" w:line="240" w:lineRule="auto"/>
            </w:pPr>
            <w:r w:rsidRPr="00B17E83">
              <w:t>Role number</w:t>
            </w:r>
          </w:p>
        </w:tc>
        <w:tc>
          <w:tcPr>
            <w:tcW w:w="5714" w:type="dxa"/>
            <w:shd w:val="clear" w:color="auto" w:fill="auto"/>
            <w:vAlign w:val="center"/>
          </w:tcPr>
          <w:p w:rsidR="00536D56" w:rsidRPr="00B02CFF" w:rsidRDefault="00487FC9" w:rsidP="00135D77">
            <w:pPr>
              <w:spacing w:after="0" w:line="240" w:lineRule="auto"/>
            </w:pPr>
            <w:r>
              <w:t>075</w:t>
            </w:r>
          </w:p>
        </w:tc>
      </w:tr>
      <w:tr w:rsidR="00536D56" w:rsidRPr="000B0852" w:rsidTr="0086516C">
        <w:trPr>
          <w:trHeight w:val="454"/>
        </w:trPr>
        <w:tc>
          <w:tcPr>
            <w:tcW w:w="3302" w:type="dxa"/>
            <w:shd w:val="clear" w:color="auto" w:fill="F2F2F2"/>
            <w:vAlign w:val="center"/>
          </w:tcPr>
          <w:p w:rsidR="00536D56" w:rsidRPr="00B17E83" w:rsidRDefault="00536D56" w:rsidP="00135D77">
            <w:pPr>
              <w:spacing w:after="0" w:line="240" w:lineRule="auto"/>
            </w:pPr>
            <w:r w:rsidRPr="00B17E83">
              <w:t>Location</w:t>
            </w:r>
          </w:p>
        </w:tc>
        <w:tc>
          <w:tcPr>
            <w:tcW w:w="5714" w:type="dxa"/>
            <w:shd w:val="clear" w:color="auto" w:fill="auto"/>
            <w:vAlign w:val="center"/>
          </w:tcPr>
          <w:p w:rsidR="00536D56" w:rsidRPr="000B0852" w:rsidRDefault="00487FC9" w:rsidP="00F324A9">
            <w:pPr>
              <w:spacing w:after="0" w:line="240" w:lineRule="auto"/>
            </w:pPr>
            <w:r>
              <w:t xml:space="preserve">Canberra </w:t>
            </w:r>
          </w:p>
        </w:tc>
      </w:tr>
      <w:tr w:rsidR="00536D56" w:rsidRPr="000B0852" w:rsidTr="0086516C">
        <w:trPr>
          <w:trHeight w:val="454"/>
        </w:trPr>
        <w:tc>
          <w:tcPr>
            <w:tcW w:w="3302" w:type="dxa"/>
            <w:shd w:val="clear" w:color="auto" w:fill="F2F2F2"/>
            <w:vAlign w:val="center"/>
          </w:tcPr>
          <w:p w:rsidR="00536D56" w:rsidRPr="00B17E83" w:rsidRDefault="00536D56" w:rsidP="00135D77">
            <w:pPr>
              <w:spacing w:after="0" w:line="240" w:lineRule="auto"/>
            </w:pPr>
            <w:r w:rsidRPr="00B17E83">
              <w:t>Classification</w:t>
            </w:r>
          </w:p>
        </w:tc>
        <w:sdt>
          <w:sdtPr>
            <w:id w:val="512649566"/>
            <w:placeholder>
              <w:docPart w:val="BBFCAD46C4E747AAA81F071203808E37"/>
            </w:placeholder>
            <w:dropDownList>
              <w:listItem w:value="Choose an item."/>
              <w:listItem w:displayText="APS 3" w:value="APS 3"/>
              <w:listItem w:displayText="APS 4" w:value="APS 4"/>
              <w:listItem w:displayText="APS 5" w:value="APS 5"/>
              <w:listItem w:displayText="APS 6" w:value="APS 6"/>
              <w:listItem w:displayText="EL 1" w:value="EL 1"/>
              <w:listItem w:displayText="EL 2" w:value="EL 2"/>
              <w:listItem w:displayText="SES 1" w:value="SES 1"/>
              <w:listItem w:displayText="SES 2" w:value="SES 2"/>
            </w:dropDownList>
          </w:sdtPr>
          <w:sdtEndPr/>
          <w:sdtContent>
            <w:tc>
              <w:tcPr>
                <w:tcW w:w="5714" w:type="dxa"/>
                <w:shd w:val="clear" w:color="auto" w:fill="auto"/>
                <w:vAlign w:val="center"/>
              </w:tcPr>
              <w:p w:rsidR="00536D56" w:rsidRPr="00BA01A3" w:rsidRDefault="00487FC9" w:rsidP="00135D77">
                <w:pPr>
                  <w:spacing w:after="0" w:line="240" w:lineRule="auto"/>
                </w:pPr>
                <w:r>
                  <w:t>EL 1</w:t>
                </w:r>
              </w:p>
            </w:tc>
          </w:sdtContent>
        </w:sdt>
      </w:tr>
      <w:tr w:rsidR="00536D56" w:rsidRPr="000B0852" w:rsidTr="0086516C">
        <w:trPr>
          <w:trHeight w:val="454"/>
        </w:trPr>
        <w:tc>
          <w:tcPr>
            <w:tcW w:w="3302" w:type="dxa"/>
            <w:shd w:val="clear" w:color="auto" w:fill="F2F2F2"/>
            <w:vAlign w:val="center"/>
          </w:tcPr>
          <w:p w:rsidR="00536D56" w:rsidRPr="00B17E83" w:rsidRDefault="00536D56" w:rsidP="00135D77">
            <w:pPr>
              <w:spacing w:after="0" w:line="240" w:lineRule="auto"/>
            </w:pPr>
            <w:r w:rsidRPr="00B17E83">
              <w:t>Branch</w:t>
            </w:r>
          </w:p>
        </w:tc>
        <w:tc>
          <w:tcPr>
            <w:tcW w:w="5714" w:type="dxa"/>
            <w:shd w:val="clear" w:color="auto" w:fill="auto"/>
            <w:vAlign w:val="center"/>
          </w:tcPr>
          <w:p w:rsidR="00536D56" w:rsidRPr="000B0852" w:rsidRDefault="00487FC9" w:rsidP="00135D77">
            <w:pPr>
              <w:spacing w:after="0" w:line="240" w:lineRule="auto"/>
            </w:pPr>
            <w:r>
              <w:t>People and Business Solutions</w:t>
            </w:r>
          </w:p>
        </w:tc>
      </w:tr>
    </w:tbl>
    <w:p w:rsidR="00536D56" w:rsidRPr="0086516C" w:rsidRDefault="00536D56" w:rsidP="0086516C">
      <w:pPr>
        <w:pStyle w:val="Heading2"/>
      </w:pPr>
      <w:r w:rsidRPr="0086516C">
        <w:t>ROLE CONTEXT</w:t>
      </w:r>
    </w:p>
    <w:p w:rsidR="00494DDC" w:rsidRPr="00C06ED4" w:rsidRDefault="00135D77" w:rsidP="00494DDC">
      <w:pPr>
        <w:rPr>
          <w:sz w:val="22"/>
          <w:szCs w:val="22"/>
        </w:rPr>
      </w:pPr>
      <w:r w:rsidRPr="00C06ED4">
        <w:rPr>
          <w:sz w:val="22"/>
          <w:szCs w:val="22"/>
        </w:rPr>
        <w:t xml:space="preserve">The </w:t>
      </w:r>
      <w:r w:rsidR="00487FC9" w:rsidRPr="00C06ED4">
        <w:rPr>
          <w:sz w:val="22"/>
          <w:szCs w:val="22"/>
        </w:rPr>
        <w:t xml:space="preserve">Manager Learning and Development </w:t>
      </w:r>
      <w:r w:rsidRPr="00C06ED4">
        <w:rPr>
          <w:sz w:val="22"/>
          <w:szCs w:val="22"/>
        </w:rPr>
        <w:t xml:space="preserve">is a key member of the </w:t>
      </w:r>
      <w:r w:rsidR="00487FC9" w:rsidRPr="00C06ED4">
        <w:rPr>
          <w:sz w:val="22"/>
          <w:szCs w:val="22"/>
        </w:rPr>
        <w:t xml:space="preserve">Organisational Development Section within the People and Business Solutions Branch. </w:t>
      </w:r>
      <w:r w:rsidRPr="00C06ED4">
        <w:rPr>
          <w:sz w:val="22"/>
          <w:szCs w:val="22"/>
        </w:rPr>
        <w:t xml:space="preserve">This role will work closely with </w:t>
      </w:r>
      <w:r w:rsidR="00487FC9" w:rsidRPr="00C06ED4">
        <w:rPr>
          <w:sz w:val="22"/>
          <w:szCs w:val="22"/>
        </w:rPr>
        <w:t xml:space="preserve">internal and external stakeholders </w:t>
      </w:r>
      <w:r w:rsidR="00494DDC" w:rsidRPr="00C06ED4">
        <w:rPr>
          <w:sz w:val="22"/>
          <w:szCs w:val="22"/>
        </w:rPr>
        <w:t xml:space="preserve">to </w:t>
      </w:r>
      <w:r w:rsidR="00CE780B" w:rsidRPr="00C06ED4">
        <w:rPr>
          <w:sz w:val="22"/>
          <w:szCs w:val="22"/>
        </w:rPr>
        <w:t>identify capabilty gaps</w:t>
      </w:r>
      <w:r w:rsidR="00C06ED4">
        <w:rPr>
          <w:sz w:val="22"/>
          <w:szCs w:val="22"/>
        </w:rPr>
        <w:t xml:space="preserve"> and</w:t>
      </w:r>
      <w:r w:rsidR="00CE780B" w:rsidRPr="00C06ED4">
        <w:rPr>
          <w:sz w:val="22"/>
          <w:szCs w:val="22"/>
        </w:rPr>
        <w:t xml:space="preserve"> </w:t>
      </w:r>
      <w:r w:rsidR="00494DDC" w:rsidRPr="00C06ED4">
        <w:rPr>
          <w:sz w:val="22"/>
          <w:szCs w:val="22"/>
        </w:rPr>
        <w:t>develop and imp</w:t>
      </w:r>
      <w:r w:rsidR="00C06ED4">
        <w:rPr>
          <w:sz w:val="22"/>
          <w:szCs w:val="22"/>
        </w:rPr>
        <w:t>l</w:t>
      </w:r>
      <w:r w:rsidR="00494DDC" w:rsidRPr="00C06ED4">
        <w:rPr>
          <w:sz w:val="22"/>
          <w:szCs w:val="22"/>
        </w:rPr>
        <w:t xml:space="preserve">ement </w:t>
      </w:r>
      <w:r w:rsidR="00494DDC" w:rsidRPr="00C06ED4">
        <w:rPr>
          <w:rFonts w:cs="Arial"/>
          <w:sz w:val="22"/>
          <w:szCs w:val="22"/>
        </w:rPr>
        <w:t>contemporary learning</w:t>
      </w:r>
      <w:r w:rsidR="00C06ED4">
        <w:rPr>
          <w:rFonts w:cs="Arial"/>
          <w:sz w:val="22"/>
          <w:szCs w:val="22"/>
        </w:rPr>
        <w:t xml:space="preserve"> and development activities/</w:t>
      </w:r>
      <w:r w:rsidR="00494DDC" w:rsidRPr="00C06ED4">
        <w:rPr>
          <w:rFonts w:cs="Arial"/>
          <w:sz w:val="22"/>
          <w:szCs w:val="22"/>
        </w:rPr>
        <w:t xml:space="preserve">initiatives to improve the capabilities and performance of AUSTRAC’s workforce in supporting the achievement of the </w:t>
      </w:r>
      <w:r w:rsidR="00C06ED4">
        <w:rPr>
          <w:rFonts w:cs="Arial"/>
          <w:sz w:val="22"/>
          <w:szCs w:val="22"/>
        </w:rPr>
        <w:t>Strategic Workforce Plan, People Strategy</w:t>
      </w:r>
      <w:r w:rsidR="00494DDC" w:rsidRPr="00C06ED4">
        <w:rPr>
          <w:rFonts w:cs="Arial"/>
          <w:sz w:val="22"/>
          <w:szCs w:val="22"/>
        </w:rPr>
        <w:t xml:space="preserve">, Corporate Plan and other relevant plans.  </w:t>
      </w:r>
    </w:p>
    <w:p w:rsidR="00536D56" w:rsidRDefault="00536D56" w:rsidP="0086516C">
      <w:pPr>
        <w:pStyle w:val="Heading2"/>
      </w:pPr>
      <w:r w:rsidRPr="00B17E83">
        <w:t>DUTIES</w:t>
      </w:r>
    </w:p>
    <w:p w:rsidR="006768F7" w:rsidRPr="00494DDC" w:rsidRDefault="00135D77" w:rsidP="006768F7">
      <w:pPr>
        <w:rPr>
          <w:rFonts w:cstheme="minorHAnsi"/>
          <w:sz w:val="22"/>
          <w:szCs w:val="22"/>
        </w:rPr>
      </w:pPr>
      <w:r>
        <w:rPr>
          <w:sz w:val="22"/>
          <w:szCs w:val="22"/>
        </w:rPr>
        <w:t xml:space="preserve">The </w:t>
      </w:r>
      <w:r w:rsidR="00494DDC">
        <w:rPr>
          <w:sz w:val="22"/>
          <w:szCs w:val="22"/>
        </w:rPr>
        <w:t>Manager, Learning and Development</w:t>
      </w:r>
      <w:r>
        <w:rPr>
          <w:sz w:val="22"/>
          <w:szCs w:val="22"/>
        </w:rPr>
        <w:t xml:space="preserve"> under </w:t>
      </w:r>
      <w:r w:rsidR="00494DDC">
        <w:rPr>
          <w:sz w:val="22"/>
          <w:szCs w:val="22"/>
        </w:rPr>
        <w:t>general</w:t>
      </w:r>
      <w:r>
        <w:rPr>
          <w:sz w:val="22"/>
          <w:szCs w:val="22"/>
        </w:rPr>
        <w:t xml:space="preserve"> supervision </w:t>
      </w:r>
      <w:r w:rsidR="00494DDC">
        <w:rPr>
          <w:sz w:val="22"/>
          <w:szCs w:val="22"/>
        </w:rPr>
        <w:t xml:space="preserve">from the EL2 Director, </w:t>
      </w:r>
      <w:r w:rsidR="00494DDC" w:rsidRPr="00494DDC">
        <w:rPr>
          <w:rFonts w:cstheme="minorHAnsi"/>
          <w:sz w:val="22"/>
          <w:szCs w:val="22"/>
        </w:rPr>
        <w:t xml:space="preserve">Organsational Development Section, </w:t>
      </w:r>
      <w:r w:rsidRPr="00494DDC">
        <w:rPr>
          <w:rFonts w:cstheme="minorHAnsi"/>
          <w:sz w:val="22"/>
          <w:szCs w:val="22"/>
        </w:rPr>
        <w:t>is responsible for:</w:t>
      </w:r>
    </w:p>
    <w:p w:rsidR="00486E6B" w:rsidRPr="00486E6B" w:rsidRDefault="00486E6B" w:rsidP="00C4252A">
      <w:pPr>
        <w:pStyle w:val="ListBullet2"/>
        <w:numPr>
          <w:ilvl w:val="0"/>
          <w:numId w:val="9"/>
        </w:numPr>
        <w:spacing w:before="120" w:after="0"/>
        <w:jc w:val="left"/>
        <w:rPr>
          <w:rFonts w:asciiTheme="minorHAnsi" w:hAnsiTheme="minorHAnsi" w:cstheme="minorHAnsi"/>
          <w:sz w:val="22"/>
          <w:szCs w:val="22"/>
        </w:rPr>
      </w:pPr>
      <w:proofErr w:type="gramStart"/>
      <w:r w:rsidRPr="00486E6B">
        <w:rPr>
          <w:rFonts w:asciiTheme="minorHAnsi" w:hAnsiTheme="minorHAnsi" w:cstheme="minorHAnsi"/>
          <w:sz w:val="22"/>
          <w:szCs w:val="22"/>
        </w:rPr>
        <w:t>leading</w:t>
      </w:r>
      <w:proofErr w:type="gramEnd"/>
      <w:r w:rsidRPr="00486E6B">
        <w:rPr>
          <w:rFonts w:asciiTheme="minorHAnsi" w:hAnsiTheme="minorHAnsi" w:cstheme="minorHAnsi"/>
          <w:sz w:val="22"/>
          <w:szCs w:val="22"/>
        </w:rPr>
        <w:t xml:space="preserve"> and managing the Learning and Development T</w:t>
      </w:r>
      <w:r w:rsidR="008613DA" w:rsidRPr="00486E6B">
        <w:rPr>
          <w:rFonts w:asciiTheme="minorHAnsi" w:hAnsiTheme="minorHAnsi" w:cstheme="minorHAnsi"/>
          <w:sz w:val="22"/>
          <w:szCs w:val="22"/>
        </w:rPr>
        <w:t xml:space="preserve">eam to </w:t>
      </w:r>
      <w:r>
        <w:rPr>
          <w:rFonts w:asciiTheme="minorHAnsi" w:hAnsiTheme="minorHAnsi" w:cstheme="minorHAnsi"/>
          <w:sz w:val="22"/>
          <w:szCs w:val="22"/>
        </w:rPr>
        <w:t xml:space="preserve">identify, develop and </w:t>
      </w:r>
      <w:r w:rsidRPr="00486E6B">
        <w:rPr>
          <w:rFonts w:asciiTheme="minorHAnsi" w:hAnsiTheme="minorHAnsi" w:cstheme="minorHAnsi"/>
          <w:sz w:val="22"/>
          <w:szCs w:val="22"/>
        </w:rPr>
        <w:t xml:space="preserve">deliver innovative, high quality learning and development solutions </w:t>
      </w:r>
      <w:r w:rsidR="00BB218B">
        <w:rPr>
          <w:rFonts w:asciiTheme="minorHAnsi" w:hAnsiTheme="minorHAnsi" w:cstheme="minorHAnsi"/>
          <w:sz w:val="22"/>
          <w:szCs w:val="22"/>
        </w:rPr>
        <w:t>that align</w:t>
      </w:r>
      <w:r w:rsidRPr="00486E6B">
        <w:rPr>
          <w:rFonts w:asciiTheme="minorHAnsi" w:hAnsiTheme="minorHAnsi" w:cstheme="minorHAnsi"/>
          <w:sz w:val="22"/>
          <w:szCs w:val="22"/>
        </w:rPr>
        <w:t xml:space="preserve"> with the agency’s business and strategic </w:t>
      </w:r>
      <w:r w:rsidR="00BB218B">
        <w:rPr>
          <w:rFonts w:asciiTheme="minorHAnsi" w:hAnsiTheme="minorHAnsi" w:cstheme="minorHAnsi"/>
          <w:sz w:val="22"/>
          <w:szCs w:val="22"/>
        </w:rPr>
        <w:t xml:space="preserve">goals and support ongoing </w:t>
      </w:r>
      <w:r w:rsidRPr="00486E6B">
        <w:rPr>
          <w:rFonts w:asciiTheme="minorHAnsi" w:hAnsiTheme="minorHAnsi" w:cstheme="minorHAnsi"/>
          <w:sz w:val="22"/>
          <w:szCs w:val="22"/>
        </w:rPr>
        <w:t>organisational capability</w:t>
      </w:r>
      <w:r w:rsidR="00BB218B">
        <w:rPr>
          <w:rFonts w:asciiTheme="minorHAnsi" w:hAnsiTheme="minorHAnsi" w:cstheme="minorHAnsi"/>
          <w:sz w:val="22"/>
          <w:szCs w:val="22"/>
        </w:rPr>
        <w:t xml:space="preserve"> uplift.</w:t>
      </w:r>
      <w:r w:rsidRPr="00486E6B">
        <w:rPr>
          <w:rFonts w:asciiTheme="minorHAnsi" w:hAnsiTheme="minorHAnsi" w:cstheme="minorHAnsi"/>
          <w:b/>
          <w:sz w:val="22"/>
          <w:szCs w:val="22"/>
        </w:rPr>
        <w:t xml:space="preserve"> </w:t>
      </w:r>
    </w:p>
    <w:p w:rsidR="00BB218B" w:rsidRDefault="00134C8D" w:rsidP="00C4252A">
      <w:pPr>
        <w:pStyle w:val="ListBullet2"/>
        <w:numPr>
          <w:ilvl w:val="0"/>
          <w:numId w:val="9"/>
        </w:numPr>
        <w:spacing w:before="120" w:after="0"/>
        <w:jc w:val="left"/>
        <w:rPr>
          <w:rFonts w:asciiTheme="minorHAnsi" w:hAnsiTheme="minorHAnsi" w:cstheme="minorHAnsi"/>
          <w:sz w:val="22"/>
          <w:szCs w:val="22"/>
        </w:rPr>
      </w:pPr>
      <w:proofErr w:type="gramStart"/>
      <w:r>
        <w:rPr>
          <w:rFonts w:asciiTheme="minorHAnsi" w:hAnsiTheme="minorHAnsi" w:cstheme="minorHAnsi"/>
          <w:sz w:val="22"/>
          <w:szCs w:val="22"/>
        </w:rPr>
        <w:t>consulting</w:t>
      </w:r>
      <w:proofErr w:type="gramEnd"/>
      <w:r>
        <w:rPr>
          <w:rFonts w:asciiTheme="minorHAnsi" w:hAnsiTheme="minorHAnsi" w:cstheme="minorHAnsi"/>
          <w:sz w:val="22"/>
          <w:szCs w:val="22"/>
        </w:rPr>
        <w:t xml:space="preserve"> and collaborating</w:t>
      </w:r>
      <w:r w:rsidR="00C06ED4">
        <w:rPr>
          <w:rFonts w:asciiTheme="minorHAnsi" w:hAnsiTheme="minorHAnsi" w:cstheme="minorHAnsi"/>
          <w:sz w:val="22"/>
          <w:szCs w:val="22"/>
        </w:rPr>
        <w:t xml:space="preserve"> with internal L&amp;D training spokes</w:t>
      </w:r>
      <w:r w:rsidR="008613DA" w:rsidRPr="00BB218B">
        <w:rPr>
          <w:rFonts w:asciiTheme="minorHAnsi" w:hAnsiTheme="minorHAnsi" w:cstheme="minorHAnsi"/>
          <w:sz w:val="22"/>
          <w:szCs w:val="22"/>
        </w:rPr>
        <w:t xml:space="preserve"> </w:t>
      </w:r>
      <w:r w:rsidR="00BB218B">
        <w:rPr>
          <w:rFonts w:asciiTheme="minorHAnsi" w:hAnsiTheme="minorHAnsi" w:cstheme="minorHAnsi"/>
          <w:sz w:val="22"/>
          <w:szCs w:val="22"/>
        </w:rPr>
        <w:t xml:space="preserve">located within the Divisions </w:t>
      </w:r>
      <w:r w:rsidR="008613DA" w:rsidRPr="00BB218B">
        <w:rPr>
          <w:rFonts w:asciiTheme="minorHAnsi" w:hAnsiTheme="minorHAnsi" w:cstheme="minorHAnsi"/>
          <w:sz w:val="22"/>
          <w:szCs w:val="22"/>
        </w:rPr>
        <w:t xml:space="preserve">to ensure </w:t>
      </w:r>
      <w:r w:rsidR="00BB218B">
        <w:rPr>
          <w:rFonts w:asciiTheme="minorHAnsi" w:hAnsiTheme="minorHAnsi" w:cstheme="minorHAnsi"/>
          <w:sz w:val="22"/>
          <w:szCs w:val="22"/>
        </w:rPr>
        <w:t xml:space="preserve">the </w:t>
      </w:r>
      <w:r w:rsidR="008613DA" w:rsidRPr="00BB218B">
        <w:rPr>
          <w:rFonts w:asciiTheme="minorHAnsi" w:hAnsiTheme="minorHAnsi" w:cstheme="minorHAnsi"/>
          <w:sz w:val="22"/>
          <w:szCs w:val="22"/>
        </w:rPr>
        <w:t xml:space="preserve">alignment of specialist development opportunities with organisational Learning and Development </w:t>
      </w:r>
      <w:r w:rsidR="00BB218B">
        <w:rPr>
          <w:rFonts w:asciiTheme="minorHAnsi" w:hAnsiTheme="minorHAnsi" w:cstheme="minorHAnsi"/>
          <w:sz w:val="22"/>
          <w:szCs w:val="22"/>
        </w:rPr>
        <w:t>outcomes.</w:t>
      </w:r>
    </w:p>
    <w:p w:rsidR="00494DDC" w:rsidRPr="00BB218B" w:rsidRDefault="00134C8D" w:rsidP="00C4252A">
      <w:pPr>
        <w:pStyle w:val="ListBullet2"/>
        <w:numPr>
          <w:ilvl w:val="0"/>
          <w:numId w:val="9"/>
        </w:numPr>
        <w:spacing w:before="120" w:after="0"/>
        <w:jc w:val="left"/>
        <w:rPr>
          <w:rFonts w:asciiTheme="minorHAnsi" w:hAnsiTheme="minorHAnsi" w:cstheme="minorHAnsi"/>
          <w:sz w:val="22"/>
          <w:szCs w:val="22"/>
        </w:rPr>
      </w:pPr>
      <w:r>
        <w:rPr>
          <w:rFonts w:asciiTheme="minorHAnsi" w:hAnsiTheme="minorHAnsi" w:cstheme="minorHAnsi"/>
          <w:sz w:val="22"/>
          <w:szCs w:val="22"/>
        </w:rPr>
        <w:t>developing</w:t>
      </w:r>
      <w:r w:rsidR="00494DDC" w:rsidRPr="00BB218B">
        <w:rPr>
          <w:rFonts w:asciiTheme="minorHAnsi" w:hAnsiTheme="minorHAnsi" w:cstheme="minorHAnsi"/>
          <w:sz w:val="22"/>
          <w:szCs w:val="22"/>
        </w:rPr>
        <w:t xml:space="preserve"> </w:t>
      </w:r>
      <w:r>
        <w:rPr>
          <w:rFonts w:asciiTheme="minorHAnsi" w:hAnsiTheme="minorHAnsi" w:cstheme="minorHAnsi"/>
          <w:sz w:val="22"/>
          <w:szCs w:val="22"/>
        </w:rPr>
        <w:t xml:space="preserve">and implementing </w:t>
      </w:r>
      <w:r w:rsidR="00494DDC" w:rsidRPr="00BB218B">
        <w:rPr>
          <w:rFonts w:asciiTheme="minorHAnsi" w:hAnsiTheme="minorHAnsi" w:cstheme="minorHAnsi"/>
          <w:sz w:val="22"/>
          <w:szCs w:val="22"/>
        </w:rPr>
        <w:t xml:space="preserve">relevant </w:t>
      </w:r>
      <w:r w:rsidR="00BB218B">
        <w:rPr>
          <w:rFonts w:asciiTheme="minorHAnsi" w:hAnsiTheme="minorHAnsi" w:cstheme="minorHAnsi"/>
          <w:sz w:val="22"/>
          <w:szCs w:val="22"/>
        </w:rPr>
        <w:t xml:space="preserve">learning and development </w:t>
      </w:r>
      <w:r w:rsidR="00494DDC" w:rsidRPr="00BB218B">
        <w:rPr>
          <w:rFonts w:asciiTheme="minorHAnsi" w:hAnsiTheme="minorHAnsi" w:cstheme="minorHAnsi"/>
          <w:sz w:val="22"/>
          <w:szCs w:val="22"/>
        </w:rPr>
        <w:t>frameworks, policies and procedures</w:t>
      </w:r>
    </w:p>
    <w:p w:rsidR="00494DDC" w:rsidRPr="00494DDC" w:rsidRDefault="00494DDC" w:rsidP="00C4252A">
      <w:pPr>
        <w:pStyle w:val="ListParagraph"/>
        <w:numPr>
          <w:ilvl w:val="0"/>
          <w:numId w:val="9"/>
        </w:numPr>
        <w:spacing w:after="0" w:line="240" w:lineRule="auto"/>
        <w:rPr>
          <w:rFonts w:asciiTheme="minorHAnsi" w:hAnsiTheme="minorHAnsi" w:cstheme="minorHAnsi"/>
          <w:sz w:val="22"/>
          <w:szCs w:val="22"/>
        </w:rPr>
      </w:pPr>
      <w:r w:rsidRPr="00494DDC">
        <w:rPr>
          <w:rFonts w:asciiTheme="minorHAnsi" w:hAnsiTheme="minorHAnsi" w:cstheme="minorHAnsi"/>
          <w:sz w:val="22"/>
          <w:szCs w:val="22"/>
        </w:rPr>
        <w:t>applying contemporary knowledge of issues, trends and best practice to champion effective and high quality learning and development within the agency</w:t>
      </w:r>
    </w:p>
    <w:p w:rsidR="00494DDC" w:rsidRDefault="00494DDC" w:rsidP="00C4252A">
      <w:pPr>
        <w:pStyle w:val="ListBullet2"/>
        <w:numPr>
          <w:ilvl w:val="0"/>
          <w:numId w:val="9"/>
        </w:numPr>
        <w:spacing w:before="120" w:after="0"/>
        <w:jc w:val="left"/>
        <w:rPr>
          <w:rFonts w:ascii="Calibri" w:hAnsi="Calibri" w:cs="Calibri"/>
          <w:sz w:val="22"/>
          <w:szCs w:val="22"/>
        </w:rPr>
      </w:pPr>
      <w:proofErr w:type="gramStart"/>
      <w:r w:rsidRPr="00494DDC">
        <w:rPr>
          <w:rFonts w:ascii="Calibri" w:hAnsi="Calibri" w:cs="Calibri"/>
          <w:sz w:val="22"/>
          <w:szCs w:val="22"/>
        </w:rPr>
        <w:t>building</w:t>
      </w:r>
      <w:proofErr w:type="gramEnd"/>
      <w:r w:rsidRPr="00494DDC">
        <w:rPr>
          <w:rFonts w:ascii="Calibri" w:hAnsi="Calibri" w:cs="Calibri"/>
          <w:sz w:val="22"/>
          <w:szCs w:val="22"/>
        </w:rPr>
        <w:t xml:space="preserve"> and maintaining strong working relationships with internal stakeholders and key external stakeholders</w:t>
      </w:r>
      <w:r w:rsidR="00BB218B">
        <w:rPr>
          <w:rFonts w:ascii="Calibri" w:hAnsi="Calibri" w:cs="Calibri"/>
          <w:sz w:val="22"/>
          <w:szCs w:val="22"/>
        </w:rPr>
        <w:t xml:space="preserve"> </w:t>
      </w:r>
      <w:r w:rsidRPr="00494DDC">
        <w:rPr>
          <w:rFonts w:ascii="Calibri" w:hAnsi="Calibri" w:cs="Calibri"/>
          <w:sz w:val="22"/>
          <w:szCs w:val="22"/>
        </w:rPr>
        <w:t xml:space="preserve">such as </w:t>
      </w:r>
      <w:r w:rsidR="00C06ED4">
        <w:rPr>
          <w:rFonts w:ascii="Calibri" w:hAnsi="Calibri" w:cs="Calibri"/>
          <w:sz w:val="22"/>
          <w:szCs w:val="22"/>
        </w:rPr>
        <w:t xml:space="preserve">AUSTRAC’s Executive, </w:t>
      </w:r>
      <w:r w:rsidRPr="00494DDC">
        <w:rPr>
          <w:rFonts w:ascii="Calibri" w:hAnsi="Calibri" w:cs="Calibri"/>
          <w:sz w:val="22"/>
          <w:szCs w:val="22"/>
        </w:rPr>
        <w:t>Australian Public Service Commission and other APS agencies</w:t>
      </w:r>
      <w:r w:rsidR="00BB218B">
        <w:rPr>
          <w:rFonts w:ascii="Calibri" w:hAnsi="Calibri" w:cs="Calibri"/>
          <w:sz w:val="22"/>
          <w:szCs w:val="22"/>
        </w:rPr>
        <w:t xml:space="preserve"> to identify capability gaps and broader development opportunities.</w:t>
      </w:r>
    </w:p>
    <w:p w:rsidR="00134C8D" w:rsidRDefault="00134C8D" w:rsidP="00C4252A">
      <w:pPr>
        <w:pStyle w:val="ListBullet2"/>
        <w:numPr>
          <w:ilvl w:val="0"/>
          <w:numId w:val="9"/>
        </w:numPr>
        <w:spacing w:before="120" w:after="0"/>
        <w:jc w:val="left"/>
        <w:rPr>
          <w:rFonts w:asciiTheme="minorHAnsi" w:hAnsiTheme="minorHAnsi" w:cstheme="minorHAnsi"/>
          <w:sz w:val="22"/>
          <w:szCs w:val="22"/>
        </w:rPr>
      </w:pPr>
      <w:r>
        <w:rPr>
          <w:rFonts w:asciiTheme="minorHAnsi" w:hAnsiTheme="minorHAnsi" w:cstheme="minorHAnsi"/>
          <w:sz w:val="22"/>
          <w:szCs w:val="22"/>
        </w:rPr>
        <w:t>enabling the business to drive</w:t>
      </w:r>
      <w:r w:rsidR="00C06ED4">
        <w:rPr>
          <w:rFonts w:asciiTheme="minorHAnsi" w:hAnsiTheme="minorHAnsi" w:cstheme="minorHAnsi"/>
          <w:sz w:val="22"/>
          <w:szCs w:val="22"/>
        </w:rPr>
        <w:t xml:space="preserve"> capability</w:t>
      </w:r>
      <w:r>
        <w:rPr>
          <w:rFonts w:asciiTheme="minorHAnsi" w:hAnsiTheme="minorHAnsi" w:cstheme="minorHAnsi"/>
          <w:sz w:val="22"/>
          <w:szCs w:val="22"/>
        </w:rPr>
        <w:t xml:space="preserve"> development initiatives through the use of existing resources and technology, leveraging opportunities both within the agency and across the APS </w:t>
      </w:r>
    </w:p>
    <w:p w:rsidR="00134C8D" w:rsidRPr="00494DDC" w:rsidRDefault="00134C8D" w:rsidP="00C4252A">
      <w:pPr>
        <w:pStyle w:val="ListBullet2"/>
        <w:numPr>
          <w:ilvl w:val="0"/>
          <w:numId w:val="0"/>
        </w:numPr>
        <w:spacing w:before="120" w:after="0"/>
        <w:jc w:val="left"/>
        <w:rPr>
          <w:rFonts w:ascii="Calibri" w:hAnsi="Calibri" w:cs="Calibri"/>
          <w:sz w:val="22"/>
          <w:szCs w:val="22"/>
        </w:rPr>
      </w:pPr>
    </w:p>
    <w:p w:rsidR="00494DDC" w:rsidRPr="00494DDC" w:rsidRDefault="00494DDC" w:rsidP="00C4252A">
      <w:pPr>
        <w:pStyle w:val="ListBullet2"/>
        <w:numPr>
          <w:ilvl w:val="0"/>
          <w:numId w:val="9"/>
        </w:numPr>
        <w:spacing w:before="120" w:after="0"/>
        <w:jc w:val="left"/>
        <w:rPr>
          <w:rFonts w:ascii="Calibri" w:hAnsi="Calibri" w:cs="Calibri"/>
          <w:sz w:val="22"/>
          <w:szCs w:val="22"/>
        </w:rPr>
      </w:pPr>
      <w:proofErr w:type="gramStart"/>
      <w:r w:rsidRPr="00494DDC">
        <w:rPr>
          <w:rFonts w:ascii="Calibri" w:hAnsi="Calibri" w:cs="Calibri"/>
          <w:sz w:val="22"/>
          <w:szCs w:val="22"/>
        </w:rPr>
        <w:lastRenderedPageBreak/>
        <w:t>w</w:t>
      </w:r>
      <w:r w:rsidR="00C15AA8">
        <w:rPr>
          <w:rFonts w:ascii="Calibri" w:hAnsi="Calibri" w:cs="Calibri"/>
          <w:sz w:val="22"/>
          <w:szCs w:val="22"/>
        </w:rPr>
        <w:t>orking</w:t>
      </w:r>
      <w:proofErr w:type="gramEnd"/>
      <w:r w:rsidR="00C15AA8">
        <w:rPr>
          <w:rFonts w:ascii="Calibri" w:hAnsi="Calibri" w:cs="Calibri"/>
          <w:sz w:val="22"/>
          <w:szCs w:val="22"/>
        </w:rPr>
        <w:t xml:space="preserve"> closely with the HR Section </w:t>
      </w:r>
      <w:r w:rsidRPr="00494DDC">
        <w:rPr>
          <w:rFonts w:ascii="Calibri" w:hAnsi="Calibri" w:cs="Calibri"/>
          <w:sz w:val="22"/>
          <w:szCs w:val="22"/>
        </w:rPr>
        <w:t>to ensure learning and development activities are integrated into the agency’s people management strategies (e.g. recruitment, performance management).</w:t>
      </w:r>
    </w:p>
    <w:p w:rsidR="00335396" w:rsidRDefault="00134C8D" w:rsidP="00C4252A">
      <w:pPr>
        <w:pStyle w:val="ListBullet2"/>
        <w:numPr>
          <w:ilvl w:val="0"/>
          <w:numId w:val="9"/>
        </w:numPr>
        <w:spacing w:before="120" w:after="0"/>
        <w:jc w:val="left"/>
        <w:rPr>
          <w:rFonts w:ascii="Calibri" w:hAnsi="Calibri" w:cs="Calibri"/>
          <w:sz w:val="22"/>
          <w:szCs w:val="22"/>
        </w:rPr>
      </w:pPr>
      <w:proofErr w:type="gramStart"/>
      <w:r>
        <w:rPr>
          <w:rFonts w:ascii="Calibri" w:hAnsi="Calibri" w:cs="Calibri"/>
          <w:sz w:val="22"/>
          <w:szCs w:val="22"/>
        </w:rPr>
        <w:t>managing</w:t>
      </w:r>
      <w:proofErr w:type="gramEnd"/>
      <w:r w:rsidR="00335396">
        <w:rPr>
          <w:rFonts w:ascii="Calibri" w:hAnsi="Calibri" w:cs="Calibri"/>
          <w:sz w:val="22"/>
          <w:szCs w:val="22"/>
        </w:rPr>
        <w:t xml:space="preserve"> the reporting needs on a recurring basis to collect, analyse and report on data rela</w:t>
      </w:r>
      <w:r>
        <w:rPr>
          <w:rFonts w:ascii="Calibri" w:hAnsi="Calibri" w:cs="Calibri"/>
          <w:sz w:val="22"/>
          <w:szCs w:val="22"/>
        </w:rPr>
        <w:t>t</w:t>
      </w:r>
      <w:r w:rsidR="00335396">
        <w:rPr>
          <w:rFonts w:ascii="Calibri" w:hAnsi="Calibri" w:cs="Calibri"/>
          <w:sz w:val="22"/>
          <w:szCs w:val="22"/>
        </w:rPr>
        <w:t>ing to learning and development needs</w:t>
      </w:r>
      <w:r>
        <w:rPr>
          <w:rFonts w:ascii="Calibri" w:hAnsi="Calibri" w:cs="Calibri"/>
          <w:sz w:val="22"/>
          <w:szCs w:val="22"/>
        </w:rPr>
        <w:t xml:space="preserve"> and reporting on return of investment relevant to  development initiatives.</w:t>
      </w:r>
    </w:p>
    <w:p w:rsidR="00494DDC" w:rsidRPr="00494DDC" w:rsidRDefault="00494DDC" w:rsidP="00134C8D">
      <w:pPr>
        <w:pStyle w:val="ListBullet2"/>
        <w:numPr>
          <w:ilvl w:val="0"/>
          <w:numId w:val="0"/>
        </w:numPr>
        <w:spacing w:before="120" w:after="0"/>
        <w:ind w:left="1080"/>
        <w:jc w:val="left"/>
        <w:rPr>
          <w:rFonts w:ascii="Calibri" w:hAnsi="Calibri" w:cs="Calibri"/>
          <w:sz w:val="22"/>
          <w:szCs w:val="22"/>
        </w:rPr>
      </w:pPr>
    </w:p>
    <w:p w:rsidR="00536D56" w:rsidRDefault="00536D56" w:rsidP="0086516C">
      <w:pPr>
        <w:pStyle w:val="Heading2"/>
      </w:pPr>
      <w:r>
        <w:t>PROFESSIONAL CAPABILITIES</w:t>
      </w:r>
    </w:p>
    <w:p w:rsidR="00B13FD5" w:rsidRPr="00B13FD5" w:rsidRDefault="00B13FD5" w:rsidP="00B13FD5">
      <w:pPr>
        <w:rPr>
          <w:sz w:val="22"/>
          <w:szCs w:val="22"/>
        </w:rPr>
      </w:pPr>
      <w:r>
        <w:rPr>
          <w:sz w:val="22"/>
          <w:szCs w:val="22"/>
        </w:rPr>
        <w:t>[</w:t>
      </w:r>
      <w:r w:rsidRPr="00B13FD5">
        <w:rPr>
          <w:sz w:val="22"/>
          <w:szCs w:val="22"/>
        </w:rPr>
        <w:t>If a qualification is required</w:t>
      </w:r>
      <w:r>
        <w:rPr>
          <w:sz w:val="22"/>
          <w:szCs w:val="22"/>
        </w:rPr>
        <w:t>, enter requirement here, or delete.]</w:t>
      </w:r>
    </w:p>
    <w:tbl>
      <w:tblPr>
        <w:tblStyle w:val="TableGrid"/>
        <w:tblW w:w="9493" w:type="dxa"/>
        <w:tblLook w:val="04A0" w:firstRow="1" w:lastRow="0" w:firstColumn="1" w:lastColumn="0" w:noHBand="0" w:noVBand="1"/>
      </w:tblPr>
      <w:tblGrid>
        <w:gridCol w:w="2689"/>
        <w:gridCol w:w="6804"/>
      </w:tblGrid>
      <w:tr w:rsidR="00536D56" w:rsidRPr="00BD4740" w:rsidTr="0086516C">
        <w:trPr>
          <w:trHeight w:val="454"/>
        </w:trPr>
        <w:tc>
          <w:tcPr>
            <w:tcW w:w="2689" w:type="dxa"/>
            <w:vAlign w:val="center"/>
          </w:tcPr>
          <w:p w:rsidR="00536D56" w:rsidRPr="00135D77" w:rsidRDefault="00536D56" w:rsidP="0086516C">
            <w:pPr>
              <w:pStyle w:val="NoSpacing"/>
              <w:rPr>
                <w:rFonts w:asciiTheme="minorHAnsi" w:hAnsiTheme="minorHAnsi" w:cstheme="minorHAnsi"/>
                <w:b/>
              </w:rPr>
            </w:pPr>
            <w:r w:rsidRPr="00135D77">
              <w:rPr>
                <w:rFonts w:asciiTheme="minorHAnsi" w:hAnsiTheme="minorHAnsi" w:cstheme="minorHAnsi"/>
                <w:b/>
              </w:rPr>
              <w:t>Capability</w:t>
            </w:r>
          </w:p>
        </w:tc>
        <w:tc>
          <w:tcPr>
            <w:tcW w:w="6804" w:type="dxa"/>
            <w:vAlign w:val="center"/>
          </w:tcPr>
          <w:p w:rsidR="00536D56" w:rsidRPr="00135D77" w:rsidRDefault="00536D56" w:rsidP="0086516C">
            <w:pPr>
              <w:pStyle w:val="NoSpacing"/>
              <w:rPr>
                <w:rFonts w:asciiTheme="minorHAnsi" w:hAnsiTheme="minorHAnsi" w:cstheme="minorHAnsi"/>
                <w:b/>
              </w:rPr>
            </w:pPr>
            <w:r w:rsidRPr="00135D77">
              <w:rPr>
                <w:rFonts w:asciiTheme="minorHAnsi" w:hAnsiTheme="minorHAnsi" w:cstheme="minorHAnsi"/>
                <w:b/>
              </w:rPr>
              <w:t>Descriptor</w:t>
            </w:r>
          </w:p>
        </w:tc>
      </w:tr>
      <w:tr w:rsidR="00C15AA8" w:rsidRPr="0001209F" w:rsidTr="002A4E0D">
        <w:trPr>
          <w:trHeight w:val="454"/>
        </w:trPr>
        <w:tc>
          <w:tcPr>
            <w:tcW w:w="2689" w:type="dxa"/>
            <w:vAlign w:val="center"/>
          </w:tcPr>
          <w:p w:rsidR="00C15AA8" w:rsidRPr="00135D77" w:rsidRDefault="00C15AA8" w:rsidP="00C15AA8">
            <w:pPr>
              <w:pStyle w:val="NoSpacing"/>
              <w:rPr>
                <w:rFonts w:asciiTheme="minorHAnsi" w:hAnsiTheme="minorHAnsi" w:cstheme="minorHAnsi"/>
                <w:b/>
              </w:rPr>
            </w:pPr>
            <w:r>
              <w:rPr>
                <w:rFonts w:asciiTheme="minorHAnsi" w:hAnsiTheme="minorHAnsi" w:cstheme="minorHAnsi"/>
                <w:b/>
              </w:rPr>
              <w:t xml:space="preserve">Learning and Development  </w:t>
            </w:r>
          </w:p>
        </w:tc>
        <w:tc>
          <w:tcPr>
            <w:tcW w:w="6804" w:type="dxa"/>
          </w:tcPr>
          <w:p w:rsidR="00C15AA8" w:rsidRPr="00C15AA8" w:rsidRDefault="00C15AA8" w:rsidP="00C15AA8">
            <w:pPr>
              <w:tabs>
                <w:tab w:val="left" w:pos="4342"/>
              </w:tabs>
              <w:spacing w:before="40" w:after="40"/>
              <w:ind w:left="17" w:right="136"/>
              <w:rPr>
                <w:sz w:val="22"/>
                <w:szCs w:val="22"/>
                <w:lang w:val="en-GB"/>
              </w:rPr>
            </w:pPr>
            <w:r w:rsidRPr="00C15AA8">
              <w:rPr>
                <w:sz w:val="22"/>
                <w:szCs w:val="22"/>
                <w:lang w:val="en-GB"/>
              </w:rPr>
              <w:t xml:space="preserve">Provide expert advice to managers and leaders on fit-for-purpose </w:t>
            </w:r>
            <w:r>
              <w:rPr>
                <w:sz w:val="22"/>
                <w:szCs w:val="22"/>
                <w:lang w:val="en-GB"/>
              </w:rPr>
              <w:t xml:space="preserve">learning and development </w:t>
            </w:r>
            <w:bookmarkStart w:id="0" w:name="_GoBack"/>
            <w:bookmarkEnd w:id="0"/>
            <w:r w:rsidRPr="00C15AA8">
              <w:rPr>
                <w:sz w:val="22"/>
                <w:szCs w:val="22"/>
                <w:lang w:val="en-GB"/>
              </w:rPr>
              <w:t xml:space="preserve">management strategies to close capability gaps, support informed selection choices, and align with </w:t>
            </w:r>
            <w:r>
              <w:rPr>
                <w:sz w:val="22"/>
                <w:szCs w:val="22"/>
                <w:lang w:val="en-GB"/>
              </w:rPr>
              <w:t>Branch Workforce Plans</w:t>
            </w:r>
            <w:r w:rsidRPr="00C15AA8">
              <w:rPr>
                <w:sz w:val="22"/>
                <w:szCs w:val="22"/>
                <w:lang w:val="en-GB"/>
              </w:rPr>
              <w:t>.</w:t>
            </w:r>
          </w:p>
          <w:p w:rsidR="00C15AA8" w:rsidRPr="00C15AA8" w:rsidRDefault="00C15AA8" w:rsidP="00C15AA8">
            <w:pPr>
              <w:tabs>
                <w:tab w:val="left" w:pos="4342"/>
              </w:tabs>
              <w:spacing w:before="40" w:after="40"/>
              <w:ind w:left="17" w:right="136"/>
              <w:rPr>
                <w:sz w:val="22"/>
                <w:szCs w:val="22"/>
                <w:lang w:val="en-GB"/>
              </w:rPr>
            </w:pPr>
            <w:r w:rsidRPr="00C15AA8">
              <w:rPr>
                <w:sz w:val="22"/>
                <w:szCs w:val="22"/>
                <w:lang w:val="en-GB"/>
              </w:rPr>
              <w:t>Encourage the capability growth of teams and of current and potential leaders, through the design and delivery of tailored development, mobility and career management programs.</w:t>
            </w:r>
          </w:p>
          <w:p w:rsidR="00C15AA8" w:rsidRPr="00C15AA8" w:rsidRDefault="00C15AA8" w:rsidP="00C15AA8">
            <w:pPr>
              <w:spacing w:before="40" w:after="40"/>
              <w:rPr>
                <w:sz w:val="22"/>
                <w:szCs w:val="22"/>
                <w:lang w:val="en-GB"/>
              </w:rPr>
            </w:pPr>
            <w:r w:rsidRPr="00C15AA8">
              <w:rPr>
                <w:sz w:val="22"/>
                <w:szCs w:val="22"/>
                <w:lang w:val="en-GB"/>
              </w:rPr>
              <w:t>Collaborate with peers across the sector to build talent pipelines for common roles and key professional streams, enhancing the sector’s appeal as an employer.</w:t>
            </w:r>
          </w:p>
          <w:p w:rsidR="00C15AA8" w:rsidRPr="00C15AA8" w:rsidRDefault="00C15AA8" w:rsidP="00C15AA8">
            <w:pPr>
              <w:spacing w:before="40" w:after="40"/>
              <w:rPr>
                <w:sz w:val="22"/>
                <w:szCs w:val="22"/>
                <w:lang w:val="en-GB"/>
              </w:rPr>
            </w:pPr>
            <w:r w:rsidRPr="00C15AA8">
              <w:rPr>
                <w:sz w:val="22"/>
                <w:szCs w:val="22"/>
                <w:lang w:val="en-GB"/>
              </w:rPr>
              <w:t>Encourage use of mobility provisions to support employees to acquire a broad base of experience through their careers and optimise flexible resource deployment.</w:t>
            </w:r>
          </w:p>
          <w:p w:rsidR="00C15AA8" w:rsidRPr="00B82561" w:rsidRDefault="00C15AA8" w:rsidP="00C15AA8">
            <w:pPr>
              <w:tabs>
                <w:tab w:val="left" w:pos="4342"/>
              </w:tabs>
              <w:spacing w:before="40" w:after="40"/>
              <w:ind w:left="17" w:right="136"/>
              <w:rPr>
                <w:sz w:val="17"/>
                <w:szCs w:val="17"/>
                <w:lang w:val="en-GB"/>
              </w:rPr>
            </w:pPr>
            <w:r w:rsidRPr="00C15AA8">
              <w:rPr>
                <w:sz w:val="22"/>
                <w:szCs w:val="22"/>
                <w:lang w:val="en-GB"/>
              </w:rPr>
              <w:t xml:space="preserve">Manage the design of methods to assess the effectiveness of </w:t>
            </w:r>
            <w:r>
              <w:rPr>
                <w:sz w:val="22"/>
                <w:szCs w:val="22"/>
                <w:lang w:val="en-GB"/>
              </w:rPr>
              <w:t xml:space="preserve">learning and development </w:t>
            </w:r>
            <w:r w:rsidRPr="00C15AA8">
              <w:rPr>
                <w:sz w:val="22"/>
                <w:szCs w:val="22"/>
                <w:lang w:val="en-GB"/>
              </w:rPr>
              <w:t>programs in building capability and influence the development of future programs, ensuring integration across other workforce management practices.</w:t>
            </w:r>
          </w:p>
        </w:tc>
      </w:tr>
    </w:tbl>
    <w:p w:rsidR="00536D56" w:rsidRDefault="00536D56" w:rsidP="0086516C">
      <w:pPr>
        <w:pStyle w:val="Heading2"/>
      </w:pPr>
      <w:r>
        <w:t>CORE CAPABILITIES</w:t>
      </w:r>
    </w:p>
    <w:tbl>
      <w:tblPr>
        <w:tblStyle w:val="TableGrid"/>
        <w:tblW w:w="9493" w:type="dxa"/>
        <w:tblLook w:val="04A0" w:firstRow="1" w:lastRow="0" w:firstColumn="1" w:lastColumn="0" w:noHBand="0" w:noVBand="1"/>
      </w:tblPr>
      <w:tblGrid>
        <w:gridCol w:w="2689"/>
        <w:gridCol w:w="6804"/>
      </w:tblGrid>
      <w:tr w:rsidR="00536D56" w:rsidRPr="00BD4740" w:rsidTr="0086516C">
        <w:trPr>
          <w:trHeight w:val="454"/>
        </w:trPr>
        <w:tc>
          <w:tcPr>
            <w:tcW w:w="2689" w:type="dxa"/>
            <w:vAlign w:val="center"/>
          </w:tcPr>
          <w:p w:rsidR="00536D56" w:rsidRPr="00135D77" w:rsidRDefault="00536D56" w:rsidP="0086516C">
            <w:pPr>
              <w:pStyle w:val="NoSpacing"/>
              <w:rPr>
                <w:rFonts w:ascii="Calibri" w:hAnsi="Calibri" w:cs="Calibri"/>
                <w:b/>
              </w:rPr>
            </w:pPr>
            <w:r w:rsidRPr="00135D77">
              <w:rPr>
                <w:rFonts w:ascii="Calibri" w:hAnsi="Calibri" w:cs="Calibri"/>
                <w:b/>
              </w:rPr>
              <w:t xml:space="preserve">Capability </w:t>
            </w:r>
          </w:p>
        </w:tc>
        <w:tc>
          <w:tcPr>
            <w:tcW w:w="6804" w:type="dxa"/>
            <w:vAlign w:val="center"/>
          </w:tcPr>
          <w:p w:rsidR="00536D56" w:rsidRPr="00135D77" w:rsidRDefault="00536D56" w:rsidP="0086516C">
            <w:pPr>
              <w:pStyle w:val="NoSpacing"/>
              <w:rPr>
                <w:rFonts w:ascii="Calibri" w:hAnsi="Calibri" w:cs="Calibri"/>
                <w:b/>
              </w:rPr>
            </w:pPr>
            <w:r w:rsidRPr="00135D77">
              <w:rPr>
                <w:rFonts w:ascii="Calibri" w:hAnsi="Calibri" w:cs="Calibri"/>
                <w:b/>
              </w:rPr>
              <w:t>Descriptor</w:t>
            </w:r>
          </w:p>
        </w:tc>
      </w:tr>
      <w:tr w:rsidR="006768F7" w:rsidRPr="00BD4740" w:rsidTr="0086516C">
        <w:trPr>
          <w:trHeight w:val="454"/>
        </w:trPr>
        <w:tc>
          <w:tcPr>
            <w:tcW w:w="2689" w:type="dxa"/>
            <w:vAlign w:val="center"/>
          </w:tcPr>
          <w:p w:rsidR="006768F7" w:rsidRPr="00135D77" w:rsidRDefault="001200FD" w:rsidP="0086516C">
            <w:pPr>
              <w:pStyle w:val="NoSpacing"/>
              <w:rPr>
                <w:rFonts w:ascii="Calibri" w:hAnsi="Calibri" w:cs="Calibri"/>
                <w:b/>
              </w:rPr>
            </w:pPr>
            <w:r>
              <w:rPr>
                <w:rFonts w:ascii="Calibri" w:hAnsi="Calibri" w:cs="Calibri"/>
                <w:b/>
              </w:rPr>
              <w:t xml:space="preserve">Relate and Network </w:t>
            </w:r>
          </w:p>
        </w:tc>
        <w:tc>
          <w:tcPr>
            <w:tcW w:w="6804" w:type="dxa"/>
            <w:vAlign w:val="center"/>
          </w:tcPr>
          <w:sdt>
            <w:sdtPr>
              <w:rPr>
                <w:rFonts w:ascii="Calibri" w:hAnsi="Calibri" w:cs="Calibri"/>
                <w:sz w:val="22"/>
                <w:szCs w:val="22"/>
              </w:rPr>
              <w:id w:val="-1142801884"/>
              <w:placeholder>
                <w:docPart w:val="664B95D62E7D4555AE170A519EAFC33E"/>
              </w:placeholder>
            </w:sdtPr>
            <w:sdtEndPr/>
            <w:sdtContent>
              <w:p w:rsidR="001200FD" w:rsidRPr="001200FD" w:rsidRDefault="001200FD" w:rsidP="001200FD">
                <w:pPr>
                  <w:pStyle w:val="NoSpacing"/>
                  <w:rPr>
                    <w:rFonts w:ascii="Calibri" w:hAnsi="Calibri" w:cs="Calibri"/>
                    <w:sz w:val="22"/>
                    <w:szCs w:val="22"/>
                  </w:rPr>
                </w:pPr>
                <w:r w:rsidRPr="001200FD">
                  <w:rPr>
                    <w:rFonts w:ascii="Calibri" w:hAnsi="Calibri" w:cs="Calibri"/>
                    <w:color w:val="333333"/>
                    <w:sz w:val="22"/>
                    <w:szCs w:val="22"/>
                  </w:rPr>
                  <w:t>Builds and maintains relationships within the AUSTRAC and</w:t>
                </w:r>
                <w:r w:rsidR="00A43695">
                  <w:rPr>
                    <w:rFonts w:ascii="Calibri" w:hAnsi="Calibri" w:cs="Calibri"/>
                    <w:color w:val="333333"/>
                    <w:sz w:val="22"/>
                    <w:szCs w:val="22"/>
                  </w:rPr>
                  <w:t xml:space="preserve"> Attorney General portfolio</w:t>
                </w:r>
                <w:r w:rsidRPr="001200FD">
                  <w:rPr>
                    <w:rFonts w:ascii="Calibri" w:hAnsi="Calibri" w:cs="Calibri"/>
                    <w:color w:val="333333"/>
                    <w:sz w:val="22"/>
                    <w:szCs w:val="22"/>
                  </w:rPr>
                  <w:t>, across the APS, with Government, stakeholders and business partners. Develops and sustains productive internal and external networks relevant to business area and seeks to develop mutually beneficial relationships. Anticipates and ensures responsiveness to stakeholder needs. Works collaboratively and widely to establish and develop cooperative relationships and mutually beneficial alliances.</w:t>
                </w:r>
              </w:p>
            </w:sdtContent>
          </w:sdt>
          <w:p w:rsidR="006768F7" w:rsidRPr="001200FD" w:rsidRDefault="006768F7" w:rsidP="0086516C">
            <w:pPr>
              <w:pStyle w:val="NoSpacing"/>
              <w:rPr>
                <w:rFonts w:ascii="Calibri" w:hAnsi="Calibri" w:cs="Calibri"/>
                <w:sz w:val="22"/>
                <w:szCs w:val="22"/>
              </w:rPr>
            </w:pPr>
          </w:p>
        </w:tc>
      </w:tr>
      <w:tr w:rsidR="006768F7" w:rsidRPr="00BD4740" w:rsidTr="0086516C">
        <w:trPr>
          <w:trHeight w:val="454"/>
        </w:trPr>
        <w:tc>
          <w:tcPr>
            <w:tcW w:w="2689" w:type="dxa"/>
            <w:vAlign w:val="center"/>
          </w:tcPr>
          <w:p w:rsidR="006768F7" w:rsidRPr="00135D77" w:rsidRDefault="001200FD" w:rsidP="0086516C">
            <w:pPr>
              <w:pStyle w:val="NoSpacing"/>
              <w:rPr>
                <w:rFonts w:ascii="Calibri" w:hAnsi="Calibri" w:cs="Calibri"/>
                <w:b/>
              </w:rPr>
            </w:pPr>
            <w:r>
              <w:rPr>
                <w:rFonts w:ascii="Calibri" w:hAnsi="Calibri" w:cs="Calibri"/>
                <w:b/>
              </w:rPr>
              <w:t xml:space="preserve">Drive and Achievement  </w:t>
            </w:r>
          </w:p>
        </w:tc>
        <w:tc>
          <w:tcPr>
            <w:tcW w:w="6804" w:type="dxa"/>
            <w:vAlign w:val="center"/>
          </w:tcPr>
          <w:p w:rsidR="001200FD" w:rsidRPr="001200FD" w:rsidRDefault="001200FD" w:rsidP="001200FD">
            <w:pPr>
              <w:pStyle w:val="Default"/>
              <w:rPr>
                <w:rFonts w:asciiTheme="minorHAnsi" w:hAnsiTheme="minorHAnsi" w:cstheme="minorHAnsi"/>
                <w:sz w:val="22"/>
                <w:szCs w:val="22"/>
              </w:rPr>
            </w:pPr>
            <w:r w:rsidRPr="001200FD">
              <w:rPr>
                <w:rFonts w:asciiTheme="minorHAnsi" w:hAnsiTheme="minorHAnsi" w:cstheme="minorHAnsi"/>
                <w:sz w:val="22"/>
                <w:szCs w:val="22"/>
              </w:rPr>
              <w:t xml:space="preserve">Supports high levels of responsiveness to changing demands and high standards of performance in work area. </w:t>
            </w:r>
          </w:p>
          <w:p w:rsidR="001200FD" w:rsidRPr="001200FD" w:rsidRDefault="001200FD" w:rsidP="001200FD">
            <w:pPr>
              <w:pStyle w:val="Default"/>
              <w:rPr>
                <w:rFonts w:asciiTheme="minorHAnsi" w:hAnsiTheme="minorHAnsi" w:cstheme="minorHAnsi"/>
                <w:sz w:val="22"/>
                <w:szCs w:val="22"/>
              </w:rPr>
            </w:pPr>
            <w:r w:rsidRPr="001200FD">
              <w:rPr>
                <w:rFonts w:asciiTheme="minorHAnsi" w:hAnsiTheme="minorHAnsi" w:cstheme="minorHAnsi"/>
                <w:sz w:val="22"/>
                <w:szCs w:val="22"/>
              </w:rPr>
              <w:t xml:space="preserve">Works to create the environment for success by providing opportunities for the expansion of capability in others and effectively utilising key individuals. </w:t>
            </w:r>
          </w:p>
          <w:p w:rsidR="001200FD" w:rsidRPr="001200FD" w:rsidRDefault="001200FD" w:rsidP="001200FD">
            <w:pPr>
              <w:pStyle w:val="NoSpacing"/>
              <w:rPr>
                <w:rFonts w:asciiTheme="minorHAnsi" w:hAnsiTheme="minorHAnsi" w:cstheme="minorHAnsi"/>
                <w:sz w:val="22"/>
                <w:szCs w:val="22"/>
              </w:rPr>
            </w:pPr>
            <w:r w:rsidRPr="001200FD">
              <w:rPr>
                <w:rFonts w:asciiTheme="minorHAnsi" w:hAnsiTheme="minorHAnsi" w:cstheme="minorHAnsi"/>
                <w:sz w:val="22"/>
                <w:szCs w:val="22"/>
              </w:rPr>
              <w:lastRenderedPageBreak/>
              <w:t xml:space="preserve">Supports a culture of achievement and excellence within area of responsibility. </w:t>
            </w:r>
          </w:p>
          <w:p w:rsidR="001200FD" w:rsidRPr="001200FD" w:rsidRDefault="001200FD" w:rsidP="001200FD">
            <w:pPr>
              <w:pStyle w:val="Default"/>
              <w:rPr>
                <w:rFonts w:asciiTheme="minorHAnsi" w:hAnsiTheme="minorHAnsi" w:cstheme="minorHAnsi"/>
                <w:sz w:val="22"/>
                <w:szCs w:val="22"/>
              </w:rPr>
            </w:pPr>
            <w:r w:rsidRPr="001200FD">
              <w:rPr>
                <w:rFonts w:asciiTheme="minorHAnsi" w:hAnsiTheme="minorHAnsi" w:cstheme="minorHAnsi"/>
                <w:sz w:val="22"/>
                <w:szCs w:val="22"/>
              </w:rPr>
              <w:t xml:space="preserve">Seeks feedback from stakeholders to gauge performance, is accountable and takes personal responsibility for own and team work outputs. </w:t>
            </w:r>
          </w:p>
          <w:p w:rsidR="006768F7" w:rsidRPr="00135D77" w:rsidRDefault="001200FD" w:rsidP="001200FD">
            <w:pPr>
              <w:pStyle w:val="NoSpacing"/>
              <w:rPr>
                <w:rFonts w:ascii="Calibri" w:hAnsi="Calibri" w:cs="Calibri"/>
              </w:rPr>
            </w:pPr>
            <w:r w:rsidRPr="001200FD">
              <w:rPr>
                <w:rFonts w:asciiTheme="minorHAnsi" w:hAnsiTheme="minorHAnsi" w:cstheme="minorHAnsi"/>
                <w:sz w:val="22"/>
                <w:szCs w:val="22"/>
              </w:rPr>
              <w:t>Critically assesses own performance to identify areas of development need.</w:t>
            </w:r>
            <w:r>
              <w:rPr>
                <w:sz w:val="18"/>
                <w:szCs w:val="18"/>
              </w:rPr>
              <w:t xml:space="preserve"> </w:t>
            </w:r>
          </w:p>
        </w:tc>
      </w:tr>
      <w:tr w:rsidR="002C485C" w:rsidRPr="00BD4740" w:rsidTr="0086516C">
        <w:trPr>
          <w:trHeight w:val="454"/>
        </w:trPr>
        <w:tc>
          <w:tcPr>
            <w:tcW w:w="2689" w:type="dxa"/>
            <w:vAlign w:val="center"/>
          </w:tcPr>
          <w:p w:rsidR="002C485C" w:rsidRDefault="002C485C" w:rsidP="002C485C">
            <w:pPr>
              <w:pStyle w:val="NoSpacing"/>
              <w:rPr>
                <w:rFonts w:ascii="Calibri" w:hAnsi="Calibri" w:cs="Calibri"/>
                <w:b/>
              </w:rPr>
            </w:pPr>
            <w:r>
              <w:rPr>
                <w:rFonts w:ascii="Calibri" w:hAnsi="Calibri" w:cs="Calibri"/>
                <w:b/>
              </w:rPr>
              <w:lastRenderedPageBreak/>
              <w:t xml:space="preserve">Communicates Effectively </w:t>
            </w:r>
          </w:p>
        </w:tc>
        <w:tc>
          <w:tcPr>
            <w:tcW w:w="6804" w:type="dxa"/>
            <w:vAlign w:val="center"/>
          </w:tcPr>
          <w:p w:rsidR="002C485C" w:rsidRPr="002C485C" w:rsidRDefault="002C485C" w:rsidP="002C485C">
            <w:pPr>
              <w:pStyle w:val="Default"/>
              <w:rPr>
                <w:rFonts w:asciiTheme="minorHAnsi" w:hAnsiTheme="minorHAnsi" w:cstheme="minorHAnsi"/>
                <w:sz w:val="22"/>
                <w:szCs w:val="22"/>
              </w:rPr>
            </w:pPr>
            <w:r w:rsidRPr="002C485C">
              <w:rPr>
                <w:rFonts w:asciiTheme="minorHAnsi" w:hAnsiTheme="minorHAnsi" w:cstheme="minorHAnsi"/>
                <w:sz w:val="22"/>
                <w:szCs w:val="22"/>
              </w:rPr>
              <w:t xml:space="preserve">Presents information with a high level of proficiency and for maximum effect. </w:t>
            </w:r>
          </w:p>
          <w:p w:rsidR="002C485C" w:rsidRPr="002C485C" w:rsidRDefault="002C485C" w:rsidP="002C485C">
            <w:pPr>
              <w:pStyle w:val="Default"/>
              <w:rPr>
                <w:rFonts w:asciiTheme="minorHAnsi" w:hAnsiTheme="minorHAnsi" w:cstheme="minorHAnsi"/>
                <w:sz w:val="22"/>
                <w:szCs w:val="22"/>
              </w:rPr>
            </w:pPr>
            <w:r w:rsidRPr="002C485C">
              <w:rPr>
                <w:rFonts w:asciiTheme="minorHAnsi" w:hAnsiTheme="minorHAnsi" w:cstheme="minorHAnsi"/>
                <w:sz w:val="22"/>
                <w:szCs w:val="22"/>
              </w:rPr>
              <w:t xml:space="preserve">Structures communication appropriately to ensure understanding and address task requirements. </w:t>
            </w:r>
          </w:p>
          <w:p w:rsidR="002C485C" w:rsidRPr="002C485C" w:rsidRDefault="002C485C" w:rsidP="002C485C">
            <w:pPr>
              <w:pStyle w:val="Default"/>
              <w:rPr>
                <w:rFonts w:asciiTheme="minorHAnsi" w:hAnsiTheme="minorHAnsi" w:cstheme="minorHAnsi"/>
                <w:sz w:val="22"/>
                <w:szCs w:val="22"/>
              </w:rPr>
            </w:pPr>
            <w:r w:rsidRPr="002C485C">
              <w:rPr>
                <w:rFonts w:asciiTheme="minorHAnsi" w:hAnsiTheme="minorHAnsi" w:cstheme="minorHAnsi"/>
                <w:sz w:val="22"/>
                <w:szCs w:val="22"/>
              </w:rPr>
              <w:t xml:space="preserve">Communicates constantly and meaningfully with employees. </w:t>
            </w:r>
          </w:p>
          <w:p w:rsidR="002C485C" w:rsidRPr="002C485C" w:rsidRDefault="002C485C" w:rsidP="002C485C">
            <w:pPr>
              <w:pStyle w:val="Default"/>
              <w:rPr>
                <w:rFonts w:asciiTheme="minorHAnsi" w:hAnsiTheme="minorHAnsi" w:cstheme="minorHAnsi"/>
                <w:sz w:val="22"/>
                <w:szCs w:val="22"/>
              </w:rPr>
            </w:pPr>
            <w:r w:rsidRPr="002C485C">
              <w:rPr>
                <w:rFonts w:asciiTheme="minorHAnsi" w:hAnsiTheme="minorHAnsi" w:cstheme="minorHAnsi"/>
                <w:sz w:val="22"/>
                <w:szCs w:val="22"/>
              </w:rPr>
              <w:t xml:space="preserve">Represents the work area and AUSTRAC professionally. </w:t>
            </w:r>
          </w:p>
          <w:p w:rsidR="002C485C" w:rsidRPr="002C485C" w:rsidRDefault="002C485C" w:rsidP="002C485C">
            <w:pPr>
              <w:pStyle w:val="NoSpacing"/>
              <w:rPr>
                <w:rFonts w:asciiTheme="minorHAnsi" w:hAnsiTheme="minorHAnsi" w:cstheme="minorHAnsi"/>
                <w:sz w:val="22"/>
                <w:szCs w:val="22"/>
              </w:rPr>
            </w:pPr>
            <w:r w:rsidRPr="002C485C">
              <w:rPr>
                <w:rFonts w:asciiTheme="minorHAnsi" w:hAnsiTheme="minorHAnsi" w:cstheme="minorHAnsi"/>
                <w:sz w:val="22"/>
                <w:szCs w:val="22"/>
              </w:rPr>
              <w:t xml:space="preserve">Clearly articulates the work area’s views and position. </w:t>
            </w:r>
          </w:p>
          <w:p w:rsidR="002C485C" w:rsidRPr="002C485C" w:rsidRDefault="002C485C" w:rsidP="002C485C">
            <w:pPr>
              <w:pStyle w:val="Default"/>
              <w:rPr>
                <w:rFonts w:asciiTheme="minorHAnsi" w:hAnsiTheme="minorHAnsi" w:cstheme="minorHAnsi"/>
                <w:sz w:val="22"/>
                <w:szCs w:val="22"/>
              </w:rPr>
            </w:pPr>
            <w:r w:rsidRPr="002C485C">
              <w:rPr>
                <w:rFonts w:asciiTheme="minorHAnsi" w:hAnsiTheme="minorHAnsi" w:cstheme="minorHAnsi"/>
                <w:sz w:val="22"/>
                <w:szCs w:val="22"/>
              </w:rPr>
              <w:t xml:space="preserve">Engages in active listening and seeks clarification of own and others’ understanding. </w:t>
            </w:r>
          </w:p>
          <w:p w:rsidR="002C485C" w:rsidRPr="002C485C" w:rsidRDefault="002C485C" w:rsidP="002C485C">
            <w:pPr>
              <w:pStyle w:val="Default"/>
              <w:rPr>
                <w:rFonts w:asciiTheme="minorHAnsi" w:hAnsiTheme="minorHAnsi" w:cstheme="minorHAnsi"/>
                <w:sz w:val="22"/>
                <w:szCs w:val="22"/>
              </w:rPr>
            </w:pPr>
            <w:r w:rsidRPr="002C485C">
              <w:rPr>
                <w:rFonts w:asciiTheme="minorHAnsi" w:hAnsiTheme="minorHAnsi" w:cstheme="minorHAnsi"/>
                <w:sz w:val="22"/>
                <w:szCs w:val="22"/>
              </w:rPr>
              <w:t xml:space="preserve">Recognises and interprets non-verbal cues appropriately. </w:t>
            </w:r>
          </w:p>
          <w:p w:rsidR="002C485C" w:rsidRPr="002C485C" w:rsidRDefault="002C485C" w:rsidP="002C485C">
            <w:pPr>
              <w:pStyle w:val="Default"/>
              <w:rPr>
                <w:rFonts w:asciiTheme="minorHAnsi" w:hAnsiTheme="minorHAnsi" w:cstheme="minorHAnsi"/>
                <w:sz w:val="22"/>
                <w:szCs w:val="22"/>
              </w:rPr>
            </w:pPr>
            <w:r w:rsidRPr="002C485C">
              <w:rPr>
                <w:rFonts w:asciiTheme="minorHAnsi" w:hAnsiTheme="minorHAnsi" w:cstheme="minorHAnsi"/>
                <w:sz w:val="22"/>
                <w:szCs w:val="22"/>
              </w:rPr>
              <w:t xml:space="preserve">Effectively adapts communication style and technical complexity of message to meet audience levels of understanding. </w:t>
            </w:r>
          </w:p>
          <w:p w:rsidR="002C485C" w:rsidRPr="002C485C" w:rsidRDefault="002C485C" w:rsidP="002C485C">
            <w:pPr>
              <w:pStyle w:val="Default"/>
              <w:rPr>
                <w:rFonts w:asciiTheme="minorHAnsi" w:hAnsiTheme="minorHAnsi" w:cstheme="minorHAnsi"/>
                <w:sz w:val="22"/>
                <w:szCs w:val="22"/>
              </w:rPr>
            </w:pPr>
            <w:r w:rsidRPr="002C485C">
              <w:rPr>
                <w:rFonts w:asciiTheme="minorHAnsi" w:hAnsiTheme="minorHAnsi" w:cstheme="minorHAnsi"/>
                <w:sz w:val="22"/>
                <w:szCs w:val="22"/>
              </w:rPr>
              <w:t xml:space="preserve">Leads and facilitates discussion, debate and feedback. </w:t>
            </w:r>
          </w:p>
          <w:p w:rsidR="002C485C" w:rsidRPr="001200FD" w:rsidRDefault="002C485C" w:rsidP="002C485C">
            <w:pPr>
              <w:pStyle w:val="NoSpacing"/>
              <w:rPr>
                <w:rFonts w:ascii="Calibri" w:hAnsi="Calibri" w:cs="Calibri"/>
                <w:color w:val="333333"/>
                <w:sz w:val="22"/>
                <w:szCs w:val="22"/>
                <w:shd w:val="clear" w:color="auto" w:fill="FAFBFC"/>
              </w:rPr>
            </w:pPr>
            <w:r w:rsidRPr="002C485C">
              <w:rPr>
                <w:rFonts w:asciiTheme="minorHAnsi" w:hAnsiTheme="minorHAnsi" w:cstheme="minorHAnsi"/>
                <w:sz w:val="22"/>
                <w:szCs w:val="22"/>
              </w:rPr>
              <w:t>Creates opportunities for others to be heard.</w:t>
            </w:r>
            <w:r>
              <w:rPr>
                <w:sz w:val="18"/>
                <w:szCs w:val="18"/>
              </w:rPr>
              <w:t xml:space="preserve"> </w:t>
            </w:r>
          </w:p>
        </w:tc>
      </w:tr>
      <w:tr w:rsidR="002C485C" w:rsidRPr="00BD4740" w:rsidTr="0086516C">
        <w:trPr>
          <w:trHeight w:val="454"/>
        </w:trPr>
        <w:tc>
          <w:tcPr>
            <w:tcW w:w="2689" w:type="dxa"/>
            <w:vAlign w:val="center"/>
          </w:tcPr>
          <w:p w:rsidR="002C485C" w:rsidRPr="00135D77" w:rsidRDefault="002C485C" w:rsidP="002C485C">
            <w:pPr>
              <w:pStyle w:val="NoSpacing"/>
              <w:rPr>
                <w:rFonts w:ascii="Calibri" w:hAnsi="Calibri" w:cs="Calibri"/>
                <w:b/>
              </w:rPr>
            </w:pPr>
            <w:r>
              <w:rPr>
                <w:rFonts w:ascii="Calibri" w:hAnsi="Calibri" w:cs="Calibri"/>
                <w:b/>
              </w:rPr>
              <w:t xml:space="preserve">Adapt and Respond to Change </w:t>
            </w:r>
          </w:p>
        </w:tc>
        <w:tc>
          <w:tcPr>
            <w:tcW w:w="6804" w:type="dxa"/>
            <w:vAlign w:val="center"/>
          </w:tcPr>
          <w:p w:rsidR="002C485C" w:rsidRPr="001200FD" w:rsidRDefault="002C485C" w:rsidP="002C485C">
            <w:pPr>
              <w:pStyle w:val="NoSpacing"/>
              <w:rPr>
                <w:rFonts w:ascii="Calibri" w:hAnsi="Calibri" w:cs="Calibri"/>
                <w:sz w:val="22"/>
                <w:szCs w:val="22"/>
              </w:rPr>
            </w:pPr>
            <w:r w:rsidRPr="001200FD">
              <w:rPr>
                <w:rFonts w:ascii="Calibri" w:hAnsi="Calibri" w:cs="Calibri"/>
                <w:color w:val="333333"/>
                <w:sz w:val="22"/>
                <w:szCs w:val="22"/>
                <w:shd w:val="clear" w:color="auto" w:fill="FAFBFC"/>
              </w:rPr>
              <w:t>Effectively implements change and translates change initiatives into practical strategies. Demonstrates initiative, flexibility and resourcefulness in dealing with uncertainty and change. Evaluates progress in change initiatives and makes necessary adjustments. Engages others in change processes and provides clear guidance and support for those transitioning through change processes.</w:t>
            </w:r>
          </w:p>
        </w:tc>
      </w:tr>
      <w:tr w:rsidR="002C485C" w:rsidRPr="00BD4740" w:rsidTr="0086516C">
        <w:trPr>
          <w:trHeight w:val="454"/>
        </w:trPr>
        <w:tc>
          <w:tcPr>
            <w:tcW w:w="2689" w:type="dxa"/>
            <w:vAlign w:val="center"/>
          </w:tcPr>
          <w:p w:rsidR="002C485C" w:rsidRPr="00135D77" w:rsidRDefault="002C485C" w:rsidP="002C485C">
            <w:pPr>
              <w:pStyle w:val="NoSpacing"/>
              <w:rPr>
                <w:rFonts w:ascii="Calibri" w:hAnsi="Calibri" w:cs="Calibri"/>
                <w:b/>
              </w:rPr>
            </w:pPr>
            <w:r>
              <w:rPr>
                <w:rFonts w:ascii="Calibri" w:hAnsi="Calibri" w:cs="Calibri"/>
                <w:b/>
              </w:rPr>
              <w:t xml:space="preserve">Apply Expertise </w:t>
            </w:r>
          </w:p>
        </w:tc>
        <w:tc>
          <w:tcPr>
            <w:tcW w:w="6804" w:type="dxa"/>
            <w:vAlign w:val="center"/>
          </w:tcPr>
          <w:p w:rsidR="002C485C" w:rsidRPr="002C485C" w:rsidRDefault="002C485C" w:rsidP="002C485C">
            <w:pPr>
              <w:pStyle w:val="NoSpacing"/>
              <w:rPr>
                <w:rFonts w:ascii="Calibri" w:hAnsi="Calibri" w:cs="Calibri"/>
                <w:sz w:val="22"/>
                <w:szCs w:val="22"/>
              </w:rPr>
            </w:pPr>
            <w:r w:rsidRPr="002C485C">
              <w:rPr>
                <w:rFonts w:ascii="Calibri" w:hAnsi="Calibri" w:cs="Calibri"/>
                <w:color w:val="333333"/>
                <w:sz w:val="22"/>
                <w:szCs w:val="22"/>
                <w:shd w:val="clear" w:color="auto" w:fill="FAFBFC"/>
              </w:rPr>
              <w:t>Ensures own expertise contributes to achieving business unit outcomes and goals. Provides sound advice on complex technical or professional issues. Makes significant contributions to particular area of professional or technical expertise and ensures work area output meets relevant policy or procedural quality requirements. Is recognised as a professional or technical expert or specialist.</w:t>
            </w:r>
          </w:p>
        </w:tc>
      </w:tr>
      <w:tr w:rsidR="002C485C" w:rsidRPr="00BD4740" w:rsidTr="0086516C">
        <w:trPr>
          <w:trHeight w:val="454"/>
        </w:trPr>
        <w:tc>
          <w:tcPr>
            <w:tcW w:w="2689" w:type="dxa"/>
            <w:vAlign w:val="center"/>
          </w:tcPr>
          <w:p w:rsidR="002C485C" w:rsidRPr="00135D77" w:rsidRDefault="002C485C" w:rsidP="002C485C">
            <w:pPr>
              <w:pStyle w:val="NoSpacing"/>
              <w:rPr>
                <w:rFonts w:ascii="Calibri" w:hAnsi="Calibri" w:cs="Calibri"/>
                <w:b/>
              </w:rPr>
            </w:pPr>
            <w:r>
              <w:rPr>
                <w:rFonts w:ascii="Calibri" w:hAnsi="Calibri" w:cs="Calibri"/>
                <w:b/>
              </w:rPr>
              <w:t xml:space="preserve">Lead and Supervise </w:t>
            </w:r>
          </w:p>
        </w:tc>
        <w:tc>
          <w:tcPr>
            <w:tcW w:w="6804" w:type="dxa"/>
            <w:vAlign w:val="center"/>
          </w:tcPr>
          <w:p w:rsidR="002C485C" w:rsidRPr="002C485C" w:rsidRDefault="002C485C" w:rsidP="002C485C">
            <w:pPr>
              <w:pStyle w:val="NoSpacing"/>
              <w:rPr>
                <w:rFonts w:ascii="Calibri" w:hAnsi="Calibri" w:cs="Calibri"/>
                <w:sz w:val="22"/>
                <w:szCs w:val="22"/>
              </w:rPr>
            </w:pPr>
            <w:r w:rsidRPr="002C485C">
              <w:rPr>
                <w:rFonts w:ascii="Calibri" w:hAnsi="Calibri" w:cs="Calibri"/>
                <w:color w:val="333333"/>
                <w:sz w:val="22"/>
                <w:szCs w:val="22"/>
                <w:shd w:val="clear" w:color="auto" w:fill="FAFBFC"/>
              </w:rPr>
              <w:t>Works to create the environment for success by providing opportunities for the expansion of capability in others and effectively utilising key individuals. Takes responsibility for managing work area including assigning and managing workloads, identifying resource needs and ensuring workplace goals are accomplished within deadlines. Supports a culture of achievement and excellence within area of responsibility. Takes responsibility for developing capability in a team environment by coaching others. Identifies opportunities for people to engage in continuous learning and development and provides effective feedback. Undertakes performance management responsibilities in a timely and constructive manner and fosters active participation in performance management processes.</w:t>
            </w:r>
          </w:p>
        </w:tc>
      </w:tr>
    </w:tbl>
    <w:p w:rsidR="00536D56" w:rsidRPr="00B13FD5" w:rsidRDefault="00536D56" w:rsidP="00B13FD5">
      <w:pPr>
        <w:spacing w:after="0"/>
        <w:rPr>
          <w:sz w:val="2"/>
        </w:rPr>
      </w:pPr>
    </w:p>
    <w:sectPr w:rsidR="00536D56" w:rsidRPr="00B13FD5" w:rsidSect="001412F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653" w:rsidRDefault="003B0653" w:rsidP="004E6C8B">
      <w:r>
        <w:separator/>
      </w:r>
    </w:p>
  </w:endnote>
  <w:endnote w:type="continuationSeparator" w:id="0">
    <w:p w:rsidR="003B0653" w:rsidRDefault="003B0653" w:rsidP="004E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D56" w:rsidRPr="002C56C2" w:rsidRDefault="00C4252A" w:rsidP="00144BF7">
    <w:pPr>
      <w:pStyle w:val="Footer"/>
      <w:jc w:val="center"/>
      <w:rPr>
        <w:b/>
        <w:color w:val="FF0000"/>
        <w:sz w:val="28"/>
        <w:szCs w:val="28"/>
      </w:rPr>
    </w:pPr>
    <w:sdt>
      <w:sdtPr>
        <w:rPr>
          <w:b/>
          <w:color w:val="FF0000"/>
          <w:sz w:val="28"/>
          <w:szCs w:val="28"/>
        </w:rPr>
        <w:alias w:val="Security Classification"/>
        <w:tag w:val="SecurityClassification"/>
        <w:id w:val="-1165852746"/>
        <w:text/>
      </w:sdtPr>
      <w:sdtEndPr/>
      <w:sdtContent>
        <w:r w:rsidR="00D555C5">
          <w:rPr>
            <w:b/>
            <w:color w:val="FF0000"/>
            <w:sz w:val="28"/>
            <w:szCs w:val="28"/>
          </w:rPr>
          <w:t>OFFICIAL</w:t>
        </w:r>
      </w:sdtContent>
    </w:sdt>
    <w:r w:rsidR="00536D56" w:rsidRPr="002C56C2">
      <w:rPr>
        <w:b/>
        <w:color w:val="FF0000"/>
        <w:sz w:val="28"/>
        <w:szCs w:val="28"/>
      </w:rPr>
      <w:drawing>
        <wp:anchor distT="0" distB="0" distL="114300" distR="114300" simplePos="0" relativeHeight="251660288" behindDoc="1" locked="0" layoutInCell="1" allowOverlap="1" wp14:anchorId="6555B872" wp14:editId="2491E168">
          <wp:simplePos x="0" y="0"/>
          <wp:positionH relativeFrom="column">
            <wp:posOffset>5741035</wp:posOffset>
          </wp:positionH>
          <wp:positionV relativeFrom="paragraph">
            <wp:posOffset>-1143000</wp:posOffset>
          </wp:positionV>
          <wp:extent cx="922738" cy="1827814"/>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lash_Bottom.png"/>
                  <pic:cNvPicPr/>
                </pic:nvPicPr>
                <pic:blipFill>
                  <a:blip r:embed="rId1">
                    <a:extLst>
                      <a:ext uri="{28A0092B-C50C-407E-A947-70E740481C1C}">
                        <a14:useLocalDpi xmlns:a14="http://schemas.microsoft.com/office/drawing/2010/main" val="0"/>
                      </a:ext>
                    </a:extLst>
                  </a:blip>
                  <a:stretch>
                    <a:fillRect/>
                  </a:stretch>
                </pic:blipFill>
                <pic:spPr>
                  <a:xfrm>
                    <a:off x="0" y="0"/>
                    <a:ext cx="922738" cy="182781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653" w:rsidRDefault="003B0653" w:rsidP="004E6C8B">
      <w:r>
        <w:separator/>
      </w:r>
    </w:p>
  </w:footnote>
  <w:footnote w:type="continuationSeparator" w:id="0">
    <w:p w:rsidR="003B0653" w:rsidRDefault="003B0653" w:rsidP="004E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D56" w:rsidRPr="004E6C8B" w:rsidRDefault="00536D56" w:rsidP="004E6C8B">
    <w:pPr>
      <w:pStyle w:val="Classification"/>
    </w:pPr>
    <w:r>
      <w:drawing>
        <wp:anchor distT="0" distB="0" distL="114300" distR="114300" simplePos="0" relativeHeight="251658240" behindDoc="1" locked="0" layoutInCell="1" allowOverlap="1" wp14:anchorId="4A7A74A6" wp14:editId="44D613BB">
          <wp:simplePos x="0" y="0"/>
          <wp:positionH relativeFrom="column">
            <wp:posOffset>-914400</wp:posOffset>
          </wp:positionH>
          <wp:positionV relativeFrom="paragraph">
            <wp:posOffset>-449580</wp:posOffset>
          </wp:positionV>
          <wp:extent cx="1260000" cy="2672728"/>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lash_Top.png"/>
                  <pic:cNvPicPr/>
                </pic:nvPicPr>
                <pic:blipFill>
                  <a:blip r:embed="rId1">
                    <a:extLst>
                      <a:ext uri="{28A0092B-C50C-407E-A947-70E740481C1C}">
                        <a14:useLocalDpi xmlns:a14="http://schemas.microsoft.com/office/drawing/2010/main" val="0"/>
                      </a:ext>
                    </a:extLst>
                  </a:blip>
                  <a:stretch>
                    <a:fillRect/>
                  </a:stretch>
                </pic:blipFill>
                <pic:spPr>
                  <a:xfrm>
                    <a:off x="0" y="0"/>
                    <a:ext cx="1260000" cy="267272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sdt>
      <w:sdtPr>
        <w:alias w:val="Security Classification"/>
        <w:tag w:val="SecurityClassification"/>
        <w:id w:val="-1910140902"/>
        <w:text/>
      </w:sdtPr>
      <w:sdtEndPr/>
      <w:sdtContent>
        <w:r w:rsidR="00D555C5">
          <w:t>OFFICIAL</w:t>
        </w:r>
      </w:sdtContent>
    </w:sdt>
  </w:p>
  <w:p w:rsidR="00536D56" w:rsidRDefault="00536D56" w:rsidP="004E6C8B">
    <w:pPr>
      <w:pStyle w:val="Header"/>
    </w:pPr>
  </w:p>
  <w:p w:rsidR="00536D56" w:rsidRDefault="00536D56" w:rsidP="004E6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34D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5411C"/>
    <w:multiLevelType w:val="multilevel"/>
    <w:tmpl w:val="ADD2FA0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24E7F6A"/>
    <w:multiLevelType w:val="hybridMultilevel"/>
    <w:tmpl w:val="88C2F2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E82393"/>
    <w:multiLevelType w:val="hybridMultilevel"/>
    <w:tmpl w:val="0A720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8A490E"/>
    <w:multiLevelType w:val="hybridMultilevel"/>
    <w:tmpl w:val="AF98D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AA51B7"/>
    <w:multiLevelType w:val="hybridMultilevel"/>
    <w:tmpl w:val="EA14B226"/>
    <w:lvl w:ilvl="0" w:tplc="031A41D2">
      <w:start w:val="1"/>
      <w:numFmt w:val="bullet"/>
      <w:pStyle w:val="ListBullet2"/>
      <w:lvlText w:val="­"/>
      <w:lvlJc w:val="left"/>
      <w:pPr>
        <w:tabs>
          <w:tab w:val="num" w:pos="-2158"/>
        </w:tabs>
        <w:ind w:left="-1075" w:firstLine="0"/>
      </w:pPr>
      <w:rPr>
        <w:rFonts w:ascii="Courier New" w:hAnsi="Courier New" w:hint="default"/>
      </w:rPr>
    </w:lvl>
    <w:lvl w:ilvl="1" w:tplc="0C090003" w:tentative="1">
      <w:start w:val="1"/>
      <w:numFmt w:val="bullet"/>
      <w:lvlText w:val="o"/>
      <w:lvlJc w:val="left"/>
      <w:pPr>
        <w:tabs>
          <w:tab w:val="num" w:pos="-715"/>
        </w:tabs>
        <w:ind w:left="-715" w:hanging="360"/>
      </w:pPr>
      <w:rPr>
        <w:rFonts w:ascii="Courier New" w:hAnsi="Courier New" w:cs="Courier New" w:hint="default"/>
      </w:rPr>
    </w:lvl>
    <w:lvl w:ilvl="2" w:tplc="0C090005" w:tentative="1">
      <w:start w:val="1"/>
      <w:numFmt w:val="bullet"/>
      <w:lvlText w:val=""/>
      <w:lvlJc w:val="left"/>
      <w:pPr>
        <w:tabs>
          <w:tab w:val="num" w:pos="5"/>
        </w:tabs>
        <w:ind w:left="5" w:hanging="360"/>
      </w:pPr>
      <w:rPr>
        <w:rFonts w:ascii="Wingdings" w:hAnsi="Wingdings" w:hint="default"/>
      </w:rPr>
    </w:lvl>
    <w:lvl w:ilvl="3" w:tplc="0C090001" w:tentative="1">
      <w:start w:val="1"/>
      <w:numFmt w:val="bullet"/>
      <w:lvlText w:val=""/>
      <w:lvlJc w:val="left"/>
      <w:pPr>
        <w:tabs>
          <w:tab w:val="num" w:pos="725"/>
        </w:tabs>
        <w:ind w:left="725" w:hanging="360"/>
      </w:pPr>
      <w:rPr>
        <w:rFonts w:ascii="Symbol" w:hAnsi="Symbol" w:hint="default"/>
      </w:rPr>
    </w:lvl>
    <w:lvl w:ilvl="4" w:tplc="0C090003" w:tentative="1">
      <w:start w:val="1"/>
      <w:numFmt w:val="bullet"/>
      <w:lvlText w:val="o"/>
      <w:lvlJc w:val="left"/>
      <w:pPr>
        <w:tabs>
          <w:tab w:val="num" w:pos="1445"/>
        </w:tabs>
        <w:ind w:left="1445" w:hanging="360"/>
      </w:pPr>
      <w:rPr>
        <w:rFonts w:ascii="Courier New" w:hAnsi="Courier New" w:cs="Courier New" w:hint="default"/>
      </w:rPr>
    </w:lvl>
    <w:lvl w:ilvl="5" w:tplc="0C090005" w:tentative="1">
      <w:start w:val="1"/>
      <w:numFmt w:val="bullet"/>
      <w:lvlText w:val=""/>
      <w:lvlJc w:val="left"/>
      <w:pPr>
        <w:tabs>
          <w:tab w:val="num" w:pos="2165"/>
        </w:tabs>
        <w:ind w:left="2165" w:hanging="360"/>
      </w:pPr>
      <w:rPr>
        <w:rFonts w:ascii="Wingdings" w:hAnsi="Wingdings" w:hint="default"/>
      </w:rPr>
    </w:lvl>
    <w:lvl w:ilvl="6" w:tplc="0C090001" w:tentative="1">
      <w:start w:val="1"/>
      <w:numFmt w:val="bullet"/>
      <w:lvlText w:val=""/>
      <w:lvlJc w:val="left"/>
      <w:pPr>
        <w:tabs>
          <w:tab w:val="num" w:pos="2885"/>
        </w:tabs>
        <w:ind w:left="2885" w:hanging="360"/>
      </w:pPr>
      <w:rPr>
        <w:rFonts w:ascii="Symbol" w:hAnsi="Symbol" w:hint="default"/>
      </w:rPr>
    </w:lvl>
    <w:lvl w:ilvl="7" w:tplc="0C090003" w:tentative="1">
      <w:start w:val="1"/>
      <w:numFmt w:val="bullet"/>
      <w:lvlText w:val="o"/>
      <w:lvlJc w:val="left"/>
      <w:pPr>
        <w:tabs>
          <w:tab w:val="num" w:pos="3605"/>
        </w:tabs>
        <w:ind w:left="3605" w:hanging="360"/>
      </w:pPr>
      <w:rPr>
        <w:rFonts w:ascii="Courier New" w:hAnsi="Courier New" w:cs="Courier New" w:hint="default"/>
      </w:rPr>
    </w:lvl>
    <w:lvl w:ilvl="8" w:tplc="0C090005" w:tentative="1">
      <w:start w:val="1"/>
      <w:numFmt w:val="bullet"/>
      <w:lvlText w:val=""/>
      <w:lvlJc w:val="left"/>
      <w:pPr>
        <w:tabs>
          <w:tab w:val="num" w:pos="4325"/>
        </w:tabs>
        <w:ind w:left="4325" w:hanging="360"/>
      </w:pPr>
      <w:rPr>
        <w:rFonts w:ascii="Wingdings" w:hAnsi="Wingdings" w:hint="default"/>
      </w:rPr>
    </w:lvl>
  </w:abstractNum>
  <w:abstractNum w:abstractNumId="6" w15:restartNumberingAfterBreak="0">
    <w:nsid w:val="40F251AA"/>
    <w:multiLevelType w:val="multilevel"/>
    <w:tmpl w:val="4C68800C"/>
    <w:styleLink w:val="Guidancenotenumbering"/>
    <w:lvl w:ilvl="0">
      <w:start w:val="1"/>
      <w:numFmt w:val="decimal"/>
      <w:lvlText w:val="%1."/>
      <w:lvlJc w:val="left"/>
      <w:pPr>
        <w:ind w:left="1134" w:hanging="1134"/>
      </w:pPr>
      <w:rPr>
        <w:rFonts w:hint="default"/>
      </w:rPr>
    </w:lvl>
    <w:lvl w:ilvl="1">
      <w:start w:val="1"/>
      <w:numFmt w:val="decimal"/>
      <w:pStyle w:val="Numberedparagraph"/>
      <w:lvlText w:val="%1.%2."/>
      <w:lvlJc w:val="left"/>
      <w:pPr>
        <w:ind w:left="2412"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2268" w:hanging="226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3C451B1"/>
    <w:multiLevelType w:val="hybridMultilevel"/>
    <w:tmpl w:val="B7C23356"/>
    <w:lvl w:ilvl="0" w:tplc="CBBC964A">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69759C"/>
    <w:multiLevelType w:val="multilevel"/>
    <w:tmpl w:val="6D14FB5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9B93907"/>
    <w:multiLevelType w:val="multilevel"/>
    <w:tmpl w:val="4C68800C"/>
    <w:numStyleLink w:val="Guidancenotenumbering"/>
  </w:abstractNum>
  <w:abstractNum w:abstractNumId="10" w15:restartNumberingAfterBreak="0">
    <w:nsid w:val="6DFD59F5"/>
    <w:multiLevelType w:val="hybridMultilevel"/>
    <w:tmpl w:val="A27E4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9"/>
  </w:num>
  <w:num w:numId="4">
    <w:abstractNumId w:val="0"/>
  </w:num>
  <w:num w:numId="5">
    <w:abstractNumId w:val="1"/>
  </w:num>
  <w:num w:numId="6">
    <w:abstractNumId w:val="8"/>
  </w:num>
  <w:num w:numId="7">
    <w:abstractNumId w:val="4"/>
  </w:num>
  <w:num w:numId="8">
    <w:abstractNumId w:val="3"/>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53"/>
    <w:rsid w:val="0003787A"/>
    <w:rsid w:val="0009434D"/>
    <w:rsid w:val="00117673"/>
    <w:rsid w:val="001200FD"/>
    <w:rsid w:val="00134C8D"/>
    <w:rsid w:val="00135D77"/>
    <w:rsid w:val="001412FE"/>
    <w:rsid w:val="00144BF7"/>
    <w:rsid w:val="00252608"/>
    <w:rsid w:val="00295CEF"/>
    <w:rsid w:val="002C485C"/>
    <w:rsid w:val="002C56C2"/>
    <w:rsid w:val="0032028E"/>
    <w:rsid w:val="00335396"/>
    <w:rsid w:val="0035499C"/>
    <w:rsid w:val="003B0653"/>
    <w:rsid w:val="003C0FF8"/>
    <w:rsid w:val="00410F56"/>
    <w:rsid w:val="00417CC6"/>
    <w:rsid w:val="0048246B"/>
    <w:rsid w:val="00486E6B"/>
    <w:rsid w:val="00487FC9"/>
    <w:rsid w:val="00494DDC"/>
    <w:rsid w:val="004E6C8B"/>
    <w:rsid w:val="00520312"/>
    <w:rsid w:val="00536D56"/>
    <w:rsid w:val="00626D81"/>
    <w:rsid w:val="00635D50"/>
    <w:rsid w:val="006768F7"/>
    <w:rsid w:val="006F7BC8"/>
    <w:rsid w:val="007408B9"/>
    <w:rsid w:val="007A0ACB"/>
    <w:rsid w:val="007B3EDA"/>
    <w:rsid w:val="007C02E2"/>
    <w:rsid w:val="007F32C1"/>
    <w:rsid w:val="008613DA"/>
    <w:rsid w:val="0086516C"/>
    <w:rsid w:val="008B67CB"/>
    <w:rsid w:val="009749C3"/>
    <w:rsid w:val="009B6A98"/>
    <w:rsid w:val="00A43695"/>
    <w:rsid w:val="00A527AC"/>
    <w:rsid w:val="00B02CFF"/>
    <w:rsid w:val="00B13FD5"/>
    <w:rsid w:val="00B14518"/>
    <w:rsid w:val="00BB218B"/>
    <w:rsid w:val="00C06ED4"/>
    <w:rsid w:val="00C15AA8"/>
    <w:rsid w:val="00C4252A"/>
    <w:rsid w:val="00CE780B"/>
    <w:rsid w:val="00D377E5"/>
    <w:rsid w:val="00D555C5"/>
    <w:rsid w:val="00D70B15"/>
    <w:rsid w:val="00DF5024"/>
    <w:rsid w:val="00EC22B6"/>
    <w:rsid w:val="00ED5A7A"/>
    <w:rsid w:val="00F21F7B"/>
    <w:rsid w:val="00F324A9"/>
    <w:rsid w:val="00F37DC3"/>
    <w:rsid w:val="00FB00FD"/>
    <w:rsid w:val="00FB32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1D5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C8B"/>
    <w:rPr>
      <w:noProof/>
      <w:sz w:val="24"/>
      <w:szCs w:val="24"/>
      <w:lang w:eastAsia="en-AU"/>
    </w:rPr>
  </w:style>
  <w:style w:type="paragraph" w:styleId="Heading1">
    <w:name w:val="heading 1"/>
    <w:basedOn w:val="Normal"/>
    <w:next w:val="Normal"/>
    <w:link w:val="Heading1Char"/>
    <w:uiPriority w:val="9"/>
    <w:qFormat/>
    <w:rsid w:val="0032028E"/>
    <w:pPr>
      <w:keepNext/>
      <w:keepLines/>
      <w:spacing w:before="480" w:after="0"/>
      <w:outlineLvl w:val="0"/>
    </w:pPr>
    <w:rPr>
      <w:rFonts w:eastAsiaTheme="majorEastAsia" w:cstheme="majorBidi"/>
      <w:b/>
      <w:bCs/>
      <w:color w:val="01426A"/>
      <w:sz w:val="44"/>
      <w:szCs w:val="32"/>
    </w:rPr>
  </w:style>
  <w:style w:type="paragraph" w:styleId="Heading2">
    <w:name w:val="heading 2"/>
    <w:basedOn w:val="Heading1"/>
    <w:next w:val="Normal"/>
    <w:link w:val="Heading2Char"/>
    <w:uiPriority w:val="9"/>
    <w:unhideWhenUsed/>
    <w:qFormat/>
    <w:rsid w:val="0086516C"/>
    <w:pPr>
      <w:tabs>
        <w:tab w:val="left" w:pos="851"/>
      </w:tabs>
      <w:spacing w:before="240" w:after="200" w:line="276" w:lineRule="auto"/>
      <w:outlineLvl w:val="1"/>
    </w:pPr>
    <w:rPr>
      <w:bCs w:val="0"/>
      <w:color w:val="638186"/>
      <w:sz w:val="36"/>
      <w:szCs w:val="26"/>
    </w:rPr>
  </w:style>
  <w:style w:type="paragraph" w:styleId="Heading3">
    <w:name w:val="heading 3"/>
    <w:basedOn w:val="Normal"/>
    <w:next w:val="Normal"/>
    <w:link w:val="Heading3Char"/>
    <w:uiPriority w:val="9"/>
    <w:unhideWhenUsed/>
    <w:qFormat/>
    <w:rsid w:val="004E6C8B"/>
    <w:pPr>
      <w:keepNext/>
      <w:keepLines/>
      <w:spacing w:before="40" w:after="0" w:line="240" w:lineRule="auto"/>
      <w:outlineLvl w:val="2"/>
    </w:pPr>
    <w:rPr>
      <w:rFonts w:eastAsiaTheme="majorEastAsia" w:cstheme="majorBidi"/>
      <w:b/>
      <w:color w:val="5EC4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2FE"/>
  </w:style>
  <w:style w:type="paragraph" w:styleId="Footer">
    <w:name w:val="footer"/>
    <w:basedOn w:val="Normal"/>
    <w:link w:val="FooterChar"/>
    <w:uiPriority w:val="99"/>
    <w:unhideWhenUsed/>
    <w:rsid w:val="00141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2FE"/>
  </w:style>
  <w:style w:type="character" w:customStyle="1" w:styleId="Heading2Char">
    <w:name w:val="Heading 2 Char"/>
    <w:basedOn w:val="DefaultParagraphFont"/>
    <w:link w:val="Heading2"/>
    <w:uiPriority w:val="9"/>
    <w:rsid w:val="0086516C"/>
    <w:rPr>
      <w:rFonts w:eastAsiaTheme="majorEastAsia" w:cstheme="majorBidi"/>
      <w:b/>
      <w:noProof/>
      <w:color w:val="638186"/>
      <w:sz w:val="36"/>
      <w:szCs w:val="26"/>
      <w:lang w:eastAsia="en-AU"/>
    </w:rPr>
  </w:style>
  <w:style w:type="table" w:styleId="TableGrid">
    <w:name w:val="Table Grid"/>
    <w:basedOn w:val="TableNormal"/>
    <w:uiPriority w:val="59"/>
    <w:rsid w:val="008B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C8B"/>
    <w:pPr>
      <w:numPr>
        <w:numId w:val="1"/>
      </w:numPr>
      <w:spacing w:before="120" w:after="120" w:line="276" w:lineRule="auto"/>
      <w:contextualSpacing/>
    </w:pPr>
    <w:rPr>
      <w:rFonts w:ascii="Calibri" w:hAnsi="Calibri"/>
      <w:lang w:val="en-US"/>
    </w:rPr>
  </w:style>
  <w:style w:type="character" w:customStyle="1" w:styleId="Heading1Char">
    <w:name w:val="Heading 1 Char"/>
    <w:basedOn w:val="DefaultParagraphFont"/>
    <w:link w:val="Heading1"/>
    <w:uiPriority w:val="9"/>
    <w:rsid w:val="0032028E"/>
    <w:rPr>
      <w:rFonts w:eastAsiaTheme="majorEastAsia" w:cstheme="majorBidi"/>
      <w:b/>
      <w:bCs/>
      <w:noProof/>
      <w:color w:val="01426A"/>
      <w:sz w:val="44"/>
      <w:szCs w:val="32"/>
      <w:lang w:eastAsia="en-AU"/>
    </w:rPr>
  </w:style>
  <w:style w:type="paragraph" w:styleId="BalloonText">
    <w:name w:val="Balloon Text"/>
    <w:basedOn w:val="Normal"/>
    <w:link w:val="BalloonTextChar"/>
    <w:uiPriority w:val="99"/>
    <w:semiHidden/>
    <w:unhideWhenUsed/>
    <w:rsid w:val="008B67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7CB"/>
    <w:rPr>
      <w:rFonts w:ascii="Lucida Grande" w:hAnsi="Lucida Grande" w:cs="Lucida Grande"/>
      <w:sz w:val="18"/>
      <w:szCs w:val="18"/>
    </w:rPr>
  </w:style>
  <w:style w:type="numbering" w:customStyle="1" w:styleId="Guidancenotenumbering">
    <w:name w:val="Guidance note numbering"/>
    <w:basedOn w:val="NoList"/>
    <w:uiPriority w:val="99"/>
    <w:rsid w:val="008B67CB"/>
    <w:pPr>
      <w:numPr>
        <w:numId w:val="2"/>
      </w:numPr>
    </w:pPr>
  </w:style>
  <w:style w:type="paragraph" w:customStyle="1" w:styleId="Numberedparagraph">
    <w:name w:val="Numbered paragraph"/>
    <w:basedOn w:val="Normal"/>
    <w:link w:val="NumberedparagraphChar"/>
    <w:qFormat/>
    <w:rsid w:val="004E6C8B"/>
    <w:pPr>
      <w:numPr>
        <w:ilvl w:val="1"/>
        <w:numId w:val="3"/>
      </w:numPr>
      <w:tabs>
        <w:tab w:val="left" w:pos="851"/>
      </w:tabs>
      <w:spacing w:before="120" w:after="120" w:line="276" w:lineRule="auto"/>
      <w:ind w:left="851" w:hanging="851"/>
    </w:pPr>
    <w:rPr>
      <w:rFonts w:ascii="Calibri" w:hAnsi="Calibri"/>
    </w:rPr>
  </w:style>
  <w:style w:type="character" w:styleId="SubtleReference">
    <w:name w:val="Subtle Reference"/>
    <w:basedOn w:val="DefaultParagraphFont"/>
    <w:uiPriority w:val="31"/>
    <w:qFormat/>
    <w:rsid w:val="008B67CB"/>
    <w:rPr>
      <w:caps w:val="0"/>
      <w:smallCaps w:val="0"/>
      <w:color w:val="ED7D31" w:themeColor="accent2"/>
      <w:u w:val="single"/>
    </w:rPr>
  </w:style>
  <w:style w:type="character" w:customStyle="1" w:styleId="NumberedparagraphChar">
    <w:name w:val="Numbered paragraph Char"/>
    <w:basedOn w:val="DefaultParagraphFont"/>
    <w:link w:val="Numberedparagraph"/>
    <w:rsid w:val="004E6C8B"/>
    <w:rPr>
      <w:rFonts w:ascii="Calibri" w:hAnsi="Calibri"/>
      <w:noProof/>
      <w:sz w:val="24"/>
      <w:szCs w:val="24"/>
      <w:lang w:eastAsia="en-AU"/>
    </w:rPr>
  </w:style>
  <w:style w:type="character" w:customStyle="1" w:styleId="Style2">
    <w:name w:val="Style2"/>
    <w:basedOn w:val="DefaultParagraphFont"/>
    <w:uiPriority w:val="1"/>
    <w:rsid w:val="00EC22B6"/>
    <w:rPr>
      <w:rFonts w:ascii="Arial" w:hAnsi="Arial"/>
      <w:b/>
      <w:color w:val="FF0000"/>
      <w:sz w:val="28"/>
    </w:rPr>
  </w:style>
  <w:style w:type="character" w:customStyle="1" w:styleId="Heading3Char">
    <w:name w:val="Heading 3 Char"/>
    <w:basedOn w:val="DefaultParagraphFont"/>
    <w:link w:val="Heading3"/>
    <w:uiPriority w:val="9"/>
    <w:rsid w:val="004E6C8B"/>
    <w:rPr>
      <w:rFonts w:eastAsiaTheme="majorEastAsia" w:cstheme="majorBidi"/>
      <w:b/>
      <w:noProof/>
      <w:color w:val="5EC4B4"/>
      <w:sz w:val="24"/>
      <w:szCs w:val="24"/>
      <w:lang w:eastAsia="en-AU"/>
    </w:rPr>
  </w:style>
  <w:style w:type="paragraph" w:customStyle="1" w:styleId="Classification">
    <w:name w:val="Classification"/>
    <w:basedOn w:val="Header"/>
    <w:qFormat/>
    <w:rsid w:val="004E6C8B"/>
    <w:pPr>
      <w:jc w:val="center"/>
    </w:pPr>
    <w:rPr>
      <w:rFonts w:ascii="Calibri" w:hAnsi="Calibri"/>
      <w:b/>
      <w:color w:val="FF0000"/>
      <w:sz w:val="28"/>
    </w:rPr>
  </w:style>
  <w:style w:type="paragraph" w:styleId="Title">
    <w:name w:val="Title"/>
    <w:basedOn w:val="Normal"/>
    <w:next w:val="Normal"/>
    <w:link w:val="TitleChar"/>
    <w:uiPriority w:val="10"/>
    <w:qFormat/>
    <w:rsid w:val="00536D56"/>
    <w:pPr>
      <w:spacing w:before="120" w:after="120" w:line="240" w:lineRule="auto"/>
      <w:contextualSpacing/>
    </w:pPr>
    <w:rPr>
      <w:rFonts w:ascii="Arial" w:eastAsia="Times New Roman" w:hAnsi="Arial" w:cs="Times New Roman"/>
      <w:b/>
      <w:noProof w:val="0"/>
      <w:color w:val="FFFFFF"/>
      <w:spacing w:val="5"/>
      <w:kern w:val="28"/>
      <w:sz w:val="44"/>
      <w:szCs w:val="52"/>
      <w:lang w:eastAsia="en-US"/>
    </w:rPr>
  </w:style>
  <w:style w:type="character" w:customStyle="1" w:styleId="TitleChar">
    <w:name w:val="Title Char"/>
    <w:basedOn w:val="DefaultParagraphFont"/>
    <w:link w:val="Title"/>
    <w:uiPriority w:val="10"/>
    <w:rsid w:val="00536D56"/>
    <w:rPr>
      <w:rFonts w:ascii="Arial" w:eastAsia="Times New Roman" w:hAnsi="Arial" w:cs="Times New Roman"/>
      <w:b/>
      <w:color w:val="FFFFFF"/>
      <w:spacing w:val="5"/>
      <w:kern w:val="28"/>
      <w:sz w:val="44"/>
      <w:szCs w:val="52"/>
    </w:rPr>
  </w:style>
  <w:style w:type="paragraph" w:styleId="BlockText">
    <w:name w:val="Block Text"/>
    <w:basedOn w:val="Normal"/>
    <w:uiPriority w:val="99"/>
    <w:unhideWhenUsed/>
    <w:rsid w:val="00536D56"/>
    <w:pPr>
      <w:pBdr>
        <w:top w:val="single" w:sz="2" w:space="10" w:color="DBE5F1"/>
        <w:left w:val="single" w:sz="2" w:space="10" w:color="DBE5F1"/>
        <w:bottom w:val="single" w:sz="2" w:space="10" w:color="DBE5F1"/>
        <w:right w:val="single" w:sz="2" w:space="10" w:color="DBE5F1"/>
      </w:pBdr>
      <w:shd w:val="clear" w:color="auto" w:fill="DBE5F1"/>
      <w:spacing w:before="240" w:after="240" w:line="276" w:lineRule="auto"/>
    </w:pPr>
    <w:rPr>
      <w:rFonts w:ascii="Arial" w:eastAsia="Times New Roman" w:hAnsi="Arial" w:cs="Times New Roman"/>
      <w:iCs/>
      <w:noProof w:val="0"/>
      <w:color w:val="244061"/>
      <w:sz w:val="22"/>
      <w:szCs w:val="22"/>
      <w:lang w:eastAsia="en-US"/>
    </w:rPr>
  </w:style>
  <w:style w:type="character" w:styleId="Hyperlink">
    <w:name w:val="Hyperlink"/>
    <w:uiPriority w:val="99"/>
    <w:unhideWhenUsed/>
    <w:rsid w:val="00536D56"/>
    <w:rPr>
      <w:color w:val="0000FF"/>
      <w:u w:val="single"/>
    </w:rPr>
  </w:style>
  <w:style w:type="paragraph" w:styleId="NoSpacing">
    <w:name w:val="No Spacing"/>
    <w:uiPriority w:val="1"/>
    <w:qFormat/>
    <w:rsid w:val="00536D56"/>
    <w:pPr>
      <w:spacing w:after="0" w:line="240" w:lineRule="auto"/>
    </w:pPr>
    <w:rPr>
      <w:rFonts w:ascii="Arial" w:hAnsi="Arial" w:cs="Arial"/>
      <w:sz w:val="21"/>
      <w:szCs w:val="21"/>
    </w:rPr>
  </w:style>
  <w:style w:type="character" w:styleId="PlaceholderText">
    <w:name w:val="Placeholder Text"/>
    <w:uiPriority w:val="99"/>
    <w:semiHidden/>
    <w:rsid w:val="006768F7"/>
    <w:rPr>
      <w:color w:val="808080"/>
    </w:rPr>
  </w:style>
  <w:style w:type="paragraph" w:styleId="ListBullet2">
    <w:name w:val="List Bullet 2"/>
    <w:basedOn w:val="Normal"/>
    <w:rsid w:val="00494DDC"/>
    <w:pPr>
      <w:numPr>
        <w:numId w:val="10"/>
      </w:numPr>
      <w:tabs>
        <w:tab w:val="left" w:pos="720"/>
      </w:tabs>
      <w:overflowPunct w:val="0"/>
      <w:autoSpaceDE w:val="0"/>
      <w:autoSpaceDN w:val="0"/>
      <w:adjustRightInd w:val="0"/>
      <w:spacing w:before="40" w:after="40" w:line="240" w:lineRule="auto"/>
      <w:jc w:val="both"/>
      <w:textAlignment w:val="baseline"/>
    </w:pPr>
    <w:rPr>
      <w:rFonts w:ascii="Palatino" w:eastAsia="Times New Roman" w:hAnsi="Palatino" w:cs="Times New Roman"/>
      <w:noProof w:val="0"/>
      <w:szCs w:val="20"/>
    </w:rPr>
  </w:style>
  <w:style w:type="paragraph" w:customStyle="1" w:styleId="Default">
    <w:name w:val="Default"/>
    <w:rsid w:val="000943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FCAD46C4E747AAA81F071203808E37"/>
        <w:category>
          <w:name w:val="General"/>
          <w:gallery w:val="placeholder"/>
        </w:category>
        <w:types>
          <w:type w:val="bbPlcHdr"/>
        </w:types>
        <w:behaviors>
          <w:behavior w:val="content"/>
        </w:behaviors>
        <w:guid w:val="{75B71D1B-4F34-489D-A13B-38A550FD80AD}"/>
      </w:docPartPr>
      <w:docPartBody>
        <w:p w:rsidR="00CF14BC" w:rsidRDefault="00B02A42" w:rsidP="00B02A42">
          <w:pPr>
            <w:pStyle w:val="BBFCAD46C4E747AAA81F071203808E371"/>
          </w:pPr>
          <w:r w:rsidRPr="00CC58DE">
            <w:rPr>
              <w:rStyle w:val="PlaceholderText"/>
            </w:rPr>
            <w:t>Choose an item.</w:t>
          </w:r>
        </w:p>
      </w:docPartBody>
    </w:docPart>
    <w:docPart>
      <w:docPartPr>
        <w:name w:val="664B95D62E7D4555AE170A519EAFC33E"/>
        <w:category>
          <w:name w:val="General"/>
          <w:gallery w:val="placeholder"/>
        </w:category>
        <w:types>
          <w:type w:val="bbPlcHdr"/>
        </w:types>
        <w:behaviors>
          <w:behavior w:val="content"/>
        </w:behaviors>
        <w:guid w:val="{67D01872-E7F8-446C-A0A1-1626789198B1}"/>
      </w:docPartPr>
      <w:docPartBody>
        <w:p w:rsidR="00FA69A0" w:rsidRDefault="004E4EB6" w:rsidP="004E4EB6">
          <w:pPr>
            <w:pStyle w:val="664B95D62E7D4555AE170A519EAFC33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BC"/>
    <w:rsid w:val="004E4EB6"/>
    <w:rsid w:val="00B02A42"/>
    <w:rsid w:val="00B36E53"/>
    <w:rsid w:val="00CF14BC"/>
    <w:rsid w:val="00FA6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EB6"/>
  </w:style>
  <w:style w:type="paragraph" w:customStyle="1" w:styleId="BBFCAD46C4E747AAA81F071203808E37">
    <w:name w:val="BBFCAD46C4E747AAA81F071203808E37"/>
  </w:style>
  <w:style w:type="paragraph" w:customStyle="1" w:styleId="CD587BE883744E8DAD2EA07E4E8DB2A1">
    <w:name w:val="CD587BE883744E8DAD2EA07E4E8DB2A1"/>
  </w:style>
  <w:style w:type="paragraph" w:customStyle="1" w:styleId="A616C978B64F4AA8BFA6B8F78595C125">
    <w:name w:val="A616C978B64F4AA8BFA6B8F78595C125"/>
  </w:style>
  <w:style w:type="paragraph" w:customStyle="1" w:styleId="1E672A88B9194D8492C17A2A314E45E9">
    <w:name w:val="1E672A88B9194D8492C17A2A314E45E9"/>
  </w:style>
  <w:style w:type="paragraph" w:customStyle="1" w:styleId="73FF26E494BC4DC984DF0618181D4E1D">
    <w:name w:val="73FF26E494BC4DC984DF0618181D4E1D"/>
  </w:style>
  <w:style w:type="paragraph" w:customStyle="1" w:styleId="A93778F19D5D4A20B87554DBFD76BA5B">
    <w:name w:val="A93778F19D5D4A20B87554DBFD76BA5B"/>
  </w:style>
  <w:style w:type="paragraph" w:customStyle="1" w:styleId="0E254AF6D2DB4EC48A8B255A8661CB9E">
    <w:name w:val="0E254AF6D2DB4EC48A8B255A8661CB9E"/>
  </w:style>
  <w:style w:type="paragraph" w:customStyle="1" w:styleId="BBFCAD46C4E747AAA81F071203808E371">
    <w:name w:val="BBFCAD46C4E747AAA81F071203808E371"/>
    <w:rsid w:val="00B02A42"/>
    <w:rPr>
      <w:rFonts w:eastAsiaTheme="minorHAnsi"/>
      <w:noProof/>
      <w:sz w:val="24"/>
      <w:szCs w:val="24"/>
    </w:rPr>
  </w:style>
  <w:style w:type="paragraph" w:customStyle="1" w:styleId="2DC3982546E146F4BD6FF4A90C1C80C0">
    <w:name w:val="2DC3982546E146F4BD6FF4A90C1C80C0"/>
    <w:rsid w:val="004E4EB6"/>
  </w:style>
  <w:style w:type="paragraph" w:customStyle="1" w:styleId="664B95D62E7D4555AE170A519EAFC33E">
    <w:name w:val="664B95D62E7D4555AE170A519EAFC33E"/>
    <w:rsid w:val="004E4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290FD-ED70-48A3-9BF5-C554AC81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2021-08-05T02:49:00Z</dcterms:created>
  <dcterms:modified xsi:type="dcterms:W3CDTF">2022-11-15T21:50:00Z</dcterms:modified>
</cp:coreProperties>
</file>