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039" w:rsidRDefault="00FC5039">
      <w:bookmarkStart w:id="0" w:name="_GoBack"/>
      <w:bookmarkEnd w:id="0"/>
      <w:r>
        <w:rPr>
          <w:noProof/>
          <w:lang w:val="en-AU" w:eastAsia="en-AU"/>
        </w:rPr>
        <w:drawing>
          <wp:inline distT="0" distB="0" distL="0" distR="0" wp14:anchorId="263CDEB7" wp14:editId="0838D6E5">
            <wp:extent cx="5731510" cy="1203978"/>
            <wp:effectExtent l="152400" t="152400" r="364490" b="358140"/>
            <wp:docPr id="1" name="Picture 1" descr="Logo: Australian Government, Attorney-General's Department." title="Australian Government,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03978"/>
                    </a:xfrm>
                    <a:prstGeom prst="rect">
                      <a:avLst/>
                    </a:prstGeom>
                    <a:ln>
                      <a:noFill/>
                    </a:ln>
                    <a:effectLst>
                      <a:outerShdw blurRad="292100" dist="139700" dir="2700000" algn="tl" rotWithShape="0">
                        <a:srgbClr val="333333">
                          <a:alpha val="65000"/>
                        </a:srgbClr>
                      </a:outerShdw>
                    </a:effectLst>
                  </pic:spPr>
                </pic:pic>
              </a:graphicData>
            </a:graphic>
          </wp:inline>
        </w:drawing>
      </w:r>
    </w:p>
    <w:p w:rsidR="00FC5039" w:rsidRPr="00A12523" w:rsidRDefault="00FC5039" w:rsidP="00FC5039">
      <w:pPr>
        <w:jc w:val="center"/>
        <w:rPr>
          <w:rFonts w:cs="Times New Roman"/>
          <w:b/>
          <w:sz w:val="28"/>
          <w:szCs w:val="28"/>
        </w:rPr>
      </w:pPr>
      <w:r w:rsidRPr="00A12523">
        <w:rPr>
          <w:rFonts w:cs="Times New Roman"/>
          <w:b/>
          <w:sz w:val="28"/>
          <w:szCs w:val="28"/>
        </w:rPr>
        <w:t>Vacancy Information Kit</w:t>
      </w:r>
    </w:p>
    <w:p w:rsidR="00FC5039" w:rsidRDefault="00FC5039" w:rsidP="00FC5039">
      <w:pPr>
        <w:ind w:left="-426"/>
        <w:jc w:val="center"/>
      </w:pPr>
      <w:r>
        <w:rPr>
          <w:noProof/>
          <w:lang w:val="en-AU" w:eastAsia="en-AU"/>
        </w:rPr>
        <w:drawing>
          <wp:inline distT="0" distB="0" distL="0" distR="0" wp14:anchorId="3971A01C" wp14:editId="571835AD">
            <wp:extent cx="6505575" cy="3343275"/>
            <wp:effectExtent l="19050" t="19050" r="28575" b="28575"/>
            <wp:docPr id="16" name="Picture 16" descr="Image of the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3343275"/>
                    </a:xfrm>
                    <a:prstGeom prst="rect">
                      <a:avLst/>
                    </a:prstGeom>
                    <a:noFill/>
                    <a:ln w="9525" cmpd="sng">
                      <a:solidFill>
                        <a:srgbClr val="93CDDD"/>
                      </a:solidFill>
                      <a:miter lim="800000"/>
                      <a:headEnd/>
                      <a:tailEnd/>
                    </a:ln>
                    <a:effectLst/>
                  </pic:spPr>
                </pic:pic>
              </a:graphicData>
            </a:graphic>
          </wp:inline>
        </w:drawing>
      </w:r>
    </w:p>
    <w:tbl>
      <w:tblPr>
        <w:tblStyle w:val="TableGrid"/>
        <w:tblW w:w="0" w:type="auto"/>
        <w:tblInd w:w="-138" w:type="dxa"/>
        <w:tblLook w:val="04A0" w:firstRow="1" w:lastRow="0" w:firstColumn="1" w:lastColumn="0" w:noHBand="0" w:noVBand="1"/>
        <w:tblDescription w:val="Table of position details"/>
      </w:tblPr>
      <w:tblGrid>
        <w:gridCol w:w="3386"/>
        <w:gridCol w:w="5768"/>
      </w:tblGrid>
      <w:tr w:rsidR="00FC5039" w:rsidTr="00FC5039">
        <w:trPr>
          <w:tblHeader/>
        </w:trPr>
        <w:tc>
          <w:tcPr>
            <w:tcW w:w="3386" w:type="dxa"/>
            <w:tcBorders>
              <w:right w:val="single" w:sz="8" w:space="0" w:color="50748A"/>
            </w:tcBorders>
            <w:shd w:val="clear" w:color="auto" w:fill="50748A"/>
          </w:tcPr>
          <w:p w:rsidR="00FC5039" w:rsidRPr="001E478F" w:rsidRDefault="00FC5039" w:rsidP="00CE0DAD">
            <w:pPr>
              <w:rPr>
                <w:b/>
                <w:color w:val="50748A"/>
                <w:sz w:val="28"/>
              </w:rPr>
            </w:pPr>
            <w:r w:rsidRPr="00A95F71">
              <w:rPr>
                <w:rFonts w:asciiTheme="minorHAnsi" w:hAnsiTheme="minorHAnsi"/>
                <w:b/>
                <w:color w:val="FFFFFF" w:themeColor="background1"/>
                <w:sz w:val="28"/>
              </w:rPr>
              <w:t>Position Details</w:t>
            </w:r>
          </w:p>
        </w:tc>
        <w:tc>
          <w:tcPr>
            <w:tcW w:w="5768" w:type="dxa"/>
            <w:tcBorders>
              <w:left w:val="single" w:sz="8" w:space="0" w:color="50748A"/>
            </w:tcBorders>
            <w:shd w:val="clear" w:color="auto" w:fill="50748A"/>
          </w:tcPr>
          <w:p w:rsidR="00FC5039" w:rsidRPr="00184F2F" w:rsidRDefault="00FC5039" w:rsidP="00CE0DAD">
            <w:pPr>
              <w:rPr>
                <w:color w:val="31849B"/>
                <w:sz w:val="28"/>
              </w:rPr>
            </w:pPr>
          </w:p>
        </w:tc>
      </w:tr>
      <w:tr w:rsidR="00FC5039" w:rsidTr="00FC5039">
        <w:tc>
          <w:tcPr>
            <w:tcW w:w="3386" w:type="dxa"/>
          </w:tcPr>
          <w:p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Reference Number</w:t>
            </w:r>
          </w:p>
        </w:tc>
        <w:tc>
          <w:tcPr>
            <w:tcW w:w="5768" w:type="dxa"/>
          </w:tcPr>
          <w:p w:rsidR="00FC5039" w:rsidRPr="00391215" w:rsidRDefault="007B32EC" w:rsidP="00CE0DAD">
            <w:pPr>
              <w:rPr>
                <w:rFonts w:asciiTheme="minorHAnsi" w:hAnsiTheme="minorHAnsi"/>
                <w:sz w:val="28"/>
              </w:rPr>
            </w:pPr>
            <w:r w:rsidRPr="007B32EC">
              <w:rPr>
                <w:rFonts w:asciiTheme="minorHAnsi" w:hAnsiTheme="minorHAnsi"/>
                <w:sz w:val="28"/>
              </w:rPr>
              <w:t>0170/22_ESG/HR-EXT</w:t>
            </w:r>
          </w:p>
        </w:tc>
      </w:tr>
      <w:tr w:rsidR="00FC5039" w:rsidTr="00FC5039">
        <w:tc>
          <w:tcPr>
            <w:tcW w:w="3386" w:type="dxa"/>
          </w:tcPr>
          <w:p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Type</w:t>
            </w:r>
          </w:p>
        </w:tc>
        <w:tc>
          <w:tcPr>
            <w:tcW w:w="5768" w:type="dxa"/>
          </w:tcPr>
          <w:p w:rsidR="00FC5039" w:rsidRPr="00391215" w:rsidRDefault="00FC5039" w:rsidP="00CE0DAD">
            <w:pPr>
              <w:rPr>
                <w:rFonts w:asciiTheme="minorHAnsi" w:hAnsiTheme="minorHAnsi"/>
                <w:sz w:val="28"/>
              </w:rPr>
            </w:pPr>
            <w:r w:rsidRPr="00391215">
              <w:rPr>
                <w:rFonts w:ascii="Calibri" w:eastAsia="Calibri" w:hAnsi="Calibri"/>
                <w:sz w:val="28"/>
              </w:rPr>
              <w:t>Ongoing/Non-ongoing</w:t>
            </w:r>
          </w:p>
        </w:tc>
      </w:tr>
      <w:tr w:rsidR="00FC5039" w:rsidTr="00FC5039">
        <w:tc>
          <w:tcPr>
            <w:tcW w:w="3386" w:type="dxa"/>
          </w:tcPr>
          <w:p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Classification</w:t>
            </w:r>
          </w:p>
        </w:tc>
        <w:tc>
          <w:tcPr>
            <w:tcW w:w="5768" w:type="dxa"/>
          </w:tcPr>
          <w:p w:rsidR="00FC5039" w:rsidRPr="00391215" w:rsidRDefault="00B9539D" w:rsidP="00CE0DAD">
            <w:pPr>
              <w:rPr>
                <w:rFonts w:asciiTheme="minorHAnsi" w:hAnsiTheme="minorHAnsi"/>
                <w:sz w:val="28"/>
              </w:rPr>
            </w:pPr>
            <w:r>
              <w:rPr>
                <w:rFonts w:asciiTheme="minorHAnsi" w:hAnsiTheme="minorHAnsi"/>
                <w:sz w:val="28"/>
              </w:rPr>
              <w:t>APS Level 6</w:t>
            </w:r>
          </w:p>
        </w:tc>
      </w:tr>
      <w:tr w:rsidR="00FC5039" w:rsidTr="00FC5039">
        <w:tc>
          <w:tcPr>
            <w:tcW w:w="3386" w:type="dxa"/>
          </w:tcPr>
          <w:p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Job Title</w:t>
            </w:r>
          </w:p>
        </w:tc>
        <w:tc>
          <w:tcPr>
            <w:tcW w:w="5768" w:type="dxa"/>
          </w:tcPr>
          <w:p w:rsidR="00FC5039" w:rsidRPr="00391215" w:rsidRDefault="00B9539D" w:rsidP="00CE0DAD">
            <w:pPr>
              <w:rPr>
                <w:rFonts w:ascii="Calibri" w:eastAsia="Calibri" w:hAnsi="Calibri"/>
                <w:sz w:val="28"/>
              </w:rPr>
            </w:pPr>
            <w:r>
              <w:rPr>
                <w:rFonts w:ascii="Calibri" w:eastAsia="Calibri" w:hAnsi="Calibri"/>
                <w:sz w:val="28"/>
              </w:rPr>
              <w:t>Workforce Planner</w:t>
            </w:r>
          </w:p>
        </w:tc>
      </w:tr>
      <w:tr w:rsidR="00FC5039" w:rsidTr="00FC5039">
        <w:tc>
          <w:tcPr>
            <w:tcW w:w="3386" w:type="dxa"/>
          </w:tcPr>
          <w:p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Location</w:t>
            </w:r>
          </w:p>
        </w:tc>
        <w:tc>
          <w:tcPr>
            <w:tcW w:w="5768" w:type="dxa"/>
          </w:tcPr>
          <w:p w:rsidR="00FC5039" w:rsidRPr="00391215" w:rsidRDefault="00B9539D" w:rsidP="00CE0DAD">
            <w:pPr>
              <w:rPr>
                <w:rFonts w:ascii="Calibri" w:eastAsia="Calibri" w:hAnsi="Calibri"/>
                <w:sz w:val="28"/>
              </w:rPr>
            </w:pPr>
            <w:r>
              <w:rPr>
                <w:rFonts w:ascii="Calibri" w:eastAsia="Calibri" w:hAnsi="Calibri"/>
                <w:sz w:val="28"/>
              </w:rPr>
              <w:t>Canberra, Melbourne</w:t>
            </w:r>
          </w:p>
        </w:tc>
      </w:tr>
      <w:tr w:rsidR="00FC5039" w:rsidTr="00FC5039">
        <w:tc>
          <w:tcPr>
            <w:tcW w:w="3386" w:type="dxa"/>
          </w:tcPr>
          <w:p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Security Clearance</w:t>
            </w:r>
          </w:p>
        </w:tc>
        <w:tc>
          <w:tcPr>
            <w:tcW w:w="5768" w:type="dxa"/>
          </w:tcPr>
          <w:p w:rsidR="00FC5039" w:rsidRPr="00391215" w:rsidRDefault="00A62D0A" w:rsidP="00A62D0A">
            <w:pPr>
              <w:autoSpaceDE w:val="0"/>
              <w:autoSpaceDN w:val="0"/>
            </w:pPr>
            <w:r w:rsidRPr="00391215">
              <w:rPr>
                <w:rFonts w:ascii="Calibri" w:eastAsia="Calibri" w:hAnsi="Calibri"/>
                <w:sz w:val="28"/>
              </w:rPr>
              <w:t xml:space="preserve">Ability to obtain and maintain a </w:t>
            </w:r>
            <w:r w:rsidR="007B32EC" w:rsidRPr="007B32EC">
              <w:rPr>
                <w:rFonts w:ascii="Calibri" w:eastAsia="Calibri" w:hAnsi="Calibri"/>
                <w:sz w:val="28"/>
              </w:rPr>
              <w:t>Baseline</w:t>
            </w:r>
            <w:r w:rsidRPr="00391215">
              <w:rPr>
                <w:rFonts w:ascii="Calibri" w:eastAsia="Calibri" w:hAnsi="Calibri"/>
                <w:sz w:val="28"/>
              </w:rPr>
              <w:t xml:space="preserve"> security clearance</w:t>
            </w:r>
            <w:r w:rsidRPr="00391215">
              <w:rPr>
                <w:rFonts w:ascii="Segoe UI" w:hAnsi="Segoe UI" w:cs="Segoe UI"/>
              </w:rPr>
              <w:t xml:space="preserve"> </w:t>
            </w:r>
          </w:p>
        </w:tc>
      </w:tr>
      <w:tr w:rsidR="00FC5039" w:rsidTr="00FC5039">
        <w:tc>
          <w:tcPr>
            <w:tcW w:w="3386" w:type="dxa"/>
          </w:tcPr>
          <w:p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Closing Date</w:t>
            </w:r>
          </w:p>
        </w:tc>
        <w:tc>
          <w:tcPr>
            <w:tcW w:w="5768" w:type="dxa"/>
          </w:tcPr>
          <w:p w:rsidR="00FC5039" w:rsidRPr="00391215" w:rsidRDefault="00B9539D" w:rsidP="00CE0DAD">
            <w:pPr>
              <w:rPr>
                <w:rFonts w:ascii="Calibri" w:eastAsia="Calibri" w:hAnsi="Calibri"/>
                <w:sz w:val="28"/>
              </w:rPr>
            </w:pPr>
            <w:r>
              <w:rPr>
                <w:rFonts w:ascii="Calibri" w:eastAsia="Calibri" w:hAnsi="Calibri"/>
                <w:sz w:val="28"/>
              </w:rPr>
              <w:t>11:30pm AEST Thursday 18</w:t>
            </w:r>
            <w:r w:rsidR="007B32EC">
              <w:rPr>
                <w:rFonts w:ascii="Calibri" w:eastAsia="Calibri" w:hAnsi="Calibri"/>
                <w:sz w:val="28"/>
              </w:rPr>
              <w:t xml:space="preserve"> August 2022</w:t>
            </w:r>
          </w:p>
        </w:tc>
      </w:tr>
    </w:tbl>
    <w:p w:rsidR="00FC5039" w:rsidRDefault="00FC5039" w:rsidP="00FC5039"/>
    <w:p w:rsidR="00FC5039" w:rsidRDefault="00FC5039">
      <w:r>
        <w:br w:type="page"/>
      </w:r>
    </w:p>
    <w:p w:rsidR="00FC5039" w:rsidRDefault="00FC5039" w:rsidP="00FC5039">
      <w:pPr>
        <w:pStyle w:val="Heading2"/>
        <w:pBdr>
          <w:bottom w:val="single" w:sz="24" w:space="1" w:color="50748A"/>
        </w:pBdr>
      </w:pPr>
      <w:r w:rsidRPr="009B5F45">
        <w:rPr>
          <w:sz w:val="28"/>
        </w:rPr>
        <w:lastRenderedPageBreak/>
        <w:t xml:space="preserve">About us </w:t>
      </w:r>
    </w:p>
    <w:p w:rsidR="00FC5039" w:rsidRPr="00391215" w:rsidRDefault="00FC5039" w:rsidP="00FC5039">
      <w:pPr>
        <w:rPr>
          <w:rFonts w:cs="Times New Roman"/>
        </w:rPr>
      </w:pPr>
      <w:r w:rsidRPr="00391215">
        <w:rPr>
          <w:rFonts w:cs="Times New Roman"/>
        </w:rPr>
        <w:t>The Attorney-General's Department delivers programs and policies to maintain and improve Australia's law and justice framework, and to facilitate jobs growth through policies that promote fair, productive, flexible and safe workplaces. Through the Australian Government Solicitor, we also provide legal services to the Commonwealth, including legal advice and representation.</w:t>
      </w:r>
    </w:p>
    <w:p w:rsidR="00FC5039" w:rsidRPr="00FC0630" w:rsidRDefault="00FC5039" w:rsidP="00FC5039">
      <w:pPr>
        <w:rPr>
          <w:rFonts w:cs="Times New Roman"/>
          <w:b/>
        </w:rPr>
      </w:pPr>
      <w:r w:rsidRPr="00FC0630">
        <w:rPr>
          <w:rFonts w:cs="Times New Roman"/>
          <w:b/>
        </w:rPr>
        <w:t xml:space="preserve">The department’s </w:t>
      </w:r>
      <w:r w:rsidR="00FC0630">
        <w:rPr>
          <w:rFonts w:cs="Times New Roman"/>
          <w:b/>
        </w:rPr>
        <w:t>K</w:t>
      </w:r>
      <w:r w:rsidR="00FC0630" w:rsidRPr="00FC0630">
        <w:rPr>
          <w:rFonts w:cs="Times New Roman"/>
          <w:b/>
        </w:rPr>
        <w:t xml:space="preserve">ey </w:t>
      </w:r>
      <w:r w:rsidR="00FC0630">
        <w:rPr>
          <w:rFonts w:cs="Times New Roman"/>
          <w:b/>
        </w:rPr>
        <w:t>A</w:t>
      </w:r>
      <w:r w:rsidR="00FC0630" w:rsidRPr="00FC0630">
        <w:rPr>
          <w:rFonts w:cs="Times New Roman"/>
          <w:b/>
        </w:rPr>
        <w:t>ctivities:</w:t>
      </w:r>
    </w:p>
    <w:p w:rsidR="00FC0630" w:rsidRPr="00FC0630" w:rsidRDefault="00FC0630" w:rsidP="00FC0630">
      <w:pPr>
        <w:rPr>
          <w:rFonts w:cs="Times New Roman"/>
          <w:i/>
          <w:iCs/>
        </w:rPr>
      </w:pPr>
      <w:r w:rsidRPr="00FC0630">
        <w:rPr>
          <w:rFonts w:cs="Times New Roman"/>
          <w:i/>
          <w:iCs/>
        </w:rPr>
        <w:t>1: Provide legal services and policy advice and oversee legal services across government</w:t>
      </w:r>
    </w:p>
    <w:p w:rsidR="00FC0630" w:rsidRPr="00FC0630" w:rsidRDefault="00FC0630" w:rsidP="00FC0630">
      <w:pPr>
        <w:rPr>
          <w:rFonts w:cs="Times New Roman"/>
        </w:rPr>
      </w:pPr>
      <w:r w:rsidRPr="00FC0630">
        <w:rPr>
          <w:rFonts w:cs="Times New Roman"/>
        </w:rPr>
        <w:t>We deliver high-quality legal services, provide high-quality policy advice and oversee the effective and efficient provision of legal services to the Australian Government and its entities. We do this to ensure that decisions are based in law, to strengthen policy outcomes and to manage legal risk. We represent the Australian Government in constitutional and other disputes and assist it in resolving and managing significant and sensitive matters. We manage international dispute resolution on behalf of the Australian Government.</w:t>
      </w:r>
    </w:p>
    <w:p w:rsidR="00FC0630" w:rsidRPr="00FC0630" w:rsidRDefault="00FC0630" w:rsidP="00FC0630">
      <w:pPr>
        <w:rPr>
          <w:rFonts w:cs="Times New Roman"/>
          <w:i/>
          <w:iCs/>
        </w:rPr>
      </w:pPr>
      <w:r w:rsidRPr="00FC0630">
        <w:rPr>
          <w:rFonts w:cs="Times New Roman"/>
          <w:i/>
          <w:iCs/>
        </w:rPr>
        <w:t>2: Manage casework</w:t>
      </w:r>
    </w:p>
    <w:p w:rsidR="00FC0630" w:rsidRPr="00FC0630" w:rsidRDefault="00FC0630" w:rsidP="00FC0630">
      <w:pPr>
        <w:rPr>
          <w:rFonts w:cs="Times New Roman"/>
        </w:rPr>
      </w:pPr>
      <w:r w:rsidRPr="00FC0630">
        <w:rPr>
          <w:rFonts w:cs="Times New Roman"/>
        </w:rPr>
        <w:t>We undertake casework relating to international crime cooperation, federal offenders, international family law, private international law and complaints under the United Nations human rights conventions in order to support Australia’s law and justice frameworks.</w:t>
      </w:r>
    </w:p>
    <w:p w:rsidR="00FC0630" w:rsidRPr="00FC0630" w:rsidRDefault="00FC0630" w:rsidP="00FC0630">
      <w:pPr>
        <w:rPr>
          <w:rFonts w:cs="Times New Roman"/>
          <w:i/>
          <w:iCs/>
        </w:rPr>
      </w:pPr>
      <w:r w:rsidRPr="00FC0630">
        <w:rPr>
          <w:rFonts w:cs="Times New Roman"/>
          <w:i/>
          <w:iCs/>
        </w:rPr>
        <w:t>3: Administer and advise on legal and policy frameworks</w:t>
      </w:r>
    </w:p>
    <w:p w:rsidR="00FC0630" w:rsidRPr="00FC0630" w:rsidRDefault="00FC0630" w:rsidP="00FC0630">
      <w:pPr>
        <w:rPr>
          <w:rFonts w:cs="Times New Roman"/>
        </w:rPr>
      </w:pPr>
      <w:r w:rsidRPr="00FC0630">
        <w:rPr>
          <w:rFonts w:cs="Times New Roman"/>
        </w:rPr>
        <w:t>We design, implement, maintain, evaluate and reform legal and policy frameworks to improve outcomes for people in Australia in relation to rights, justice, security, integrity and workplaces. We ensure access to fair and affordable institutions and mechanisms that promote accountability and the rule of law.</w:t>
      </w:r>
    </w:p>
    <w:p w:rsidR="00FC0630" w:rsidRPr="00FC0630" w:rsidRDefault="00FC0630" w:rsidP="00FC0630">
      <w:pPr>
        <w:rPr>
          <w:rFonts w:cs="Times New Roman"/>
          <w:i/>
          <w:iCs/>
        </w:rPr>
      </w:pPr>
      <w:r w:rsidRPr="00FC0630">
        <w:rPr>
          <w:rFonts w:cs="Times New Roman"/>
          <w:i/>
          <w:iCs/>
        </w:rPr>
        <w:t>4: Administer and implement programs and services</w:t>
      </w:r>
    </w:p>
    <w:p w:rsidR="00FC0630" w:rsidRDefault="00FC0630" w:rsidP="00FC0630">
      <w:pPr>
        <w:rPr>
          <w:rFonts w:cs="Times New Roman"/>
        </w:rPr>
      </w:pPr>
      <w:r w:rsidRPr="00FC0630">
        <w:rPr>
          <w:rFonts w:cs="Times New Roman"/>
        </w:rPr>
        <w:t>We administer and implement programs and services that improve access to justice for vulnerable people, provide financial assistance to workers whose entitlements have not been paid as a result of liquidation or bankruptcy and promote the safety, wellbeing and productivity of people at work. We also deliver programs that support international regional partners to develop law and justice sectors and effective policy and legal frameworks for their country.</w:t>
      </w:r>
    </w:p>
    <w:p w:rsidR="00FC0630" w:rsidRPr="00FC0630" w:rsidRDefault="00FC0630" w:rsidP="00FC0630">
      <w:pPr>
        <w:rPr>
          <w:rFonts w:cs="Times New Roman"/>
        </w:rPr>
      </w:pPr>
      <w:r w:rsidRPr="00FC0630">
        <w:rPr>
          <w:rFonts w:cs="Times New Roman"/>
          <w:i/>
          <w:iCs/>
        </w:rPr>
        <w:t>5: Establish and support royal commissions and other bodies</w:t>
      </w:r>
    </w:p>
    <w:p w:rsidR="00FC0630" w:rsidRPr="00FC0630" w:rsidRDefault="00FC0630" w:rsidP="00FC0630">
      <w:pPr>
        <w:rPr>
          <w:rFonts w:cs="Times New Roman"/>
        </w:rPr>
      </w:pPr>
      <w:r w:rsidRPr="00FC0630">
        <w:rPr>
          <w:rFonts w:cs="Times New Roman"/>
        </w:rPr>
        <w:t>We establish and provide support to royal commissions and other bodies to assist them to commence their enquiries in a timely manner consistent with their terms of reference to uphold the rule of law and provide strong oversight, transparency and accountability in matters of public importance. We work with royal commissions and other bodies to provide the information and evidence they need from the government to conduct their inquiries.</w:t>
      </w:r>
    </w:p>
    <w:p w:rsidR="00FC0630" w:rsidRPr="00FC0630" w:rsidRDefault="00FC0630" w:rsidP="00FC5039">
      <w:r>
        <w:t xml:space="preserve">Through these key activities, we contribute to Australia being a prosperous, fair and cohesive nation. </w:t>
      </w:r>
    </w:p>
    <w:p w:rsidR="00FC5039" w:rsidRPr="00391215" w:rsidRDefault="00FC5039" w:rsidP="00FC5039">
      <w:pPr>
        <w:rPr>
          <w:rFonts w:cs="Times New Roman"/>
        </w:rPr>
      </w:pPr>
      <w:r w:rsidRPr="00391215">
        <w:rPr>
          <w:rFonts w:cs="Times New Roman"/>
        </w:rPr>
        <w:t>The department operates in a diverse and complex environment to address challenging issues. We have a highly-skilled and engaged workforce involved in policy development and implementation and program administration. The department also has a large number of practicing lawyers, mainly within the Australian Government Solicito</w:t>
      </w:r>
      <w:r w:rsidR="00AD7BD8">
        <w:rPr>
          <w:rFonts w:cs="Times New Roman"/>
        </w:rPr>
        <w:t>r G</w:t>
      </w:r>
      <w:r w:rsidRPr="00391215">
        <w:rPr>
          <w:rFonts w:cs="Times New Roman"/>
        </w:rPr>
        <w:t>roup within the department.</w:t>
      </w:r>
    </w:p>
    <w:p w:rsidR="00FC5039" w:rsidRPr="00391215" w:rsidRDefault="00FC5039" w:rsidP="00FC5039">
      <w:pPr>
        <w:rPr>
          <w:rFonts w:cs="Times New Roman"/>
        </w:rPr>
      </w:pPr>
      <w:r w:rsidRPr="00391215">
        <w:rPr>
          <w:rFonts w:cs="Times New Roman"/>
        </w:rPr>
        <w:t xml:space="preserve">Our future success is dependent on a workforce that is agile, diverse, outward looking, engages more effectively with risk, and responds flexibly to our changing environment. </w:t>
      </w:r>
    </w:p>
    <w:p w:rsidR="00FC5039" w:rsidRPr="00391215" w:rsidRDefault="00FC5039" w:rsidP="00FC5039">
      <w:pPr>
        <w:rPr>
          <w:rFonts w:cs="Times New Roman"/>
        </w:rPr>
      </w:pPr>
      <w:r w:rsidRPr="00391215">
        <w:rPr>
          <w:rFonts w:cs="Times New Roman"/>
        </w:rPr>
        <w:lastRenderedPageBreak/>
        <w:t>Central to the department meeting its strategic priorities</w:t>
      </w:r>
      <w:r w:rsidR="00B736A8" w:rsidRPr="00391215">
        <w:rPr>
          <w:rFonts w:cs="Times New Roman"/>
        </w:rPr>
        <w:t xml:space="preserve"> and</w:t>
      </w:r>
      <w:r w:rsidRPr="00391215">
        <w:rPr>
          <w:rFonts w:cs="Times New Roman"/>
        </w:rPr>
        <w:t xml:space="preserve"> objectives is a capable, engaged and flexible workforce which can perform and excel in a complex and changing environment. By investing in the development of our people, we aim to improve our productivity and enhance our ability to deliver high quality advice and outcomes.</w:t>
      </w:r>
    </w:p>
    <w:p w:rsidR="00FC5039" w:rsidRPr="00391215" w:rsidRDefault="00FC5039" w:rsidP="000403BF">
      <w:pPr>
        <w:pBdr>
          <w:between w:val="single" w:sz="8" w:space="1" w:color="auto"/>
        </w:pBdr>
        <w:rPr>
          <w:rFonts w:cs="Times New Roman"/>
          <w:b/>
        </w:rPr>
      </w:pPr>
      <w:r w:rsidRPr="00391215">
        <w:rPr>
          <w:rFonts w:cs="Times New Roman"/>
          <w:b/>
        </w:rPr>
        <w:t xml:space="preserve">This recruitment process will be used to fill: </w:t>
      </w:r>
    </w:p>
    <w:p w:rsidR="00FC5039" w:rsidRPr="006E07D7" w:rsidRDefault="00FC5039" w:rsidP="000403BF">
      <w:pPr>
        <w:pBdr>
          <w:top w:val="single" w:sz="8" w:space="1" w:color="auto"/>
          <w:left w:val="single" w:sz="8" w:space="4" w:color="auto"/>
          <w:bottom w:val="single" w:sz="8" w:space="1" w:color="auto"/>
          <w:right w:val="single" w:sz="8" w:space="4" w:color="auto"/>
          <w:between w:val="single" w:sz="8" w:space="1" w:color="auto"/>
        </w:pBdr>
        <w:rPr>
          <w:rFonts w:cs="Times New Roman"/>
        </w:rPr>
      </w:pPr>
      <w:r w:rsidRPr="006E07D7">
        <w:rPr>
          <w:rFonts w:cs="Times New Roman"/>
          <w:b/>
        </w:rPr>
        <w:t xml:space="preserve">Job title: </w:t>
      </w:r>
      <w:r w:rsidR="006E07D7" w:rsidRPr="007B32EC">
        <w:rPr>
          <w:rFonts w:cs="Times New Roman"/>
        </w:rPr>
        <w:t>Workforce Plann</w:t>
      </w:r>
      <w:r w:rsidR="009F2874" w:rsidRPr="007B32EC">
        <w:rPr>
          <w:rFonts w:cs="Times New Roman"/>
        </w:rPr>
        <w:t>er</w:t>
      </w:r>
    </w:p>
    <w:p w:rsidR="00FC5039" w:rsidRPr="006E07D7" w:rsidRDefault="00FC5039" w:rsidP="000403BF">
      <w:pPr>
        <w:pBdr>
          <w:top w:val="single" w:sz="8" w:space="1" w:color="auto"/>
          <w:left w:val="single" w:sz="8" w:space="4" w:color="auto"/>
          <w:bottom w:val="single" w:sz="8" w:space="1" w:color="auto"/>
          <w:right w:val="single" w:sz="8" w:space="4" w:color="auto"/>
          <w:between w:val="single" w:sz="8" w:space="1" w:color="auto"/>
        </w:pBdr>
        <w:rPr>
          <w:rFonts w:cs="Times New Roman"/>
        </w:rPr>
      </w:pPr>
      <w:r w:rsidRPr="006E07D7">
        <w:rPr>
          <w:rFonts w:cs="Times New Roman"/>
          <w:b/>
        </w:rPr>
        <w:t xml:space="preserve">Classification: </w:t>
      </w:r>
      <w:r w:rsidR="006E07D7" w:rsidRPr="007B32EC">
        <w:rPr>
          <w:rFonts w:cs="Times New Roman"/>
        </w:rPr>
        <w:t>APS</w:t>
      </w:r>
      <w:r w:rsidR="00B9539D" w:rsidRPr="007B32EC">
        <w:rPr>
          <w:rFonts w:cs="Times New Roman"/>
        </w:rPr>
        <w:t xml:space="preserve"> Level </w:t>
      </w:r>
      <w:r w:rsidR="006E07D7" w:rsidRPr="007B32EC">
        <w:rPr>
          <w:rFonts w:cs="Times New Roman"/>
        </w:rPr>
        <w:t>6</w:t>
      </w:r>
    </w:p>
    <w:p w:rsidR="000403BF" w:rsidRPr="00291F64" w:rsidRDefault="00FC5039" w:rsidP="000403BF">
      <w:pPr>
        <w:pBdr>
          <w:top w:val="single" w:sz="8" w:space="1" w:color="auto"/>
          <w:left w:val="single" w:sz="8" w:space="4" w:color="auto"/>
          <w:bottom w:val="single" w:sz="8" w:space="1" w:color="auto"/>
          <w:right w:val="single" w:sz="8" w:space="4" w:color="auto"/>
          <w:between w:val="single" w:sz="8" w:space="1" w:color="auto"/>
        </w:pBdr>
        <w:rPr>
          <w:rFonts w:cs="Times New Roman"/>
        </w:rPr>
      </w:pPr>
      <w:r w:rsidRPr="006E07D7">
        <w:rPr>
          <w:rFonts w:cs="Times New Roman"/>
          <w:b/>
        </w:rPr>
        <w:t>Location:</w:t>
      </w:r>
      <w:r w:rsidRPr="00291F64">
        <w:rPr>
          <w:rFonts w:cs="Times New Roman"/>
          <w:b/>
        </w:rPr>
        <w:t xml:space="preserve"> </w:t>
      </w:r>
      <w:r w:rsidR="006E07D7" w:rsidRPr="007B32EC">
        <w:rPr>
          <w:rFonts w:cs="Times New Roman"/>
        </w:rPr>
        <w:t>Canberra, Melbourne</w:t>
      </w:r>
    </w:p>
    <w:p w:rsidR="000403BF" w:rsidRPr="00291F64" w:rsidRDefault="000403BF" w:rsidP="00FC5039">
      <w:pPr>
        <w:rPr>
          <w:rFonts w:cs="Times New Roman"/>
          <w:b/>
        </w:rPr>
      </w:pPr>
      <w:r w:rsidRPr="00291F64">
        <w:rPr>
          <w:rFonts w:cs="Times New Roman"/>
          <w:b/>
        </w:rPr>
        <w:t xml:space="preserve">This recruitment process will also create a merit pool for future similar vacancies in the: </w:t>
      </w:r>
    </w:p>
    <w:p w:rsidR="000403BF" w:rsidRPr="00291F64" w:rsidRDefault="000403BF" w:rsidP="000403BF">
      <w:pPr>
        <w:pBdr>
          <w:top w:val="single" w:sz="8" w:space="1" w:color="auto"/>
          <w:left w:val="single" w:sz="8" w:space="4" w:color="auto"/>
          <w:bottom w:val="single" w:sz="8" w:space="1" w:color="auto"/>
          <w:right w:val="single" w:sz="8" w:space="4" w:color="auto"/>
        </w:pBdr>
        <w:rPr>
          <w:rFonts w:cs="Times New Roman"/>
        </w:rPr>
      </w:pPr>
      <w:r w:rsidRPr="006E07D7">
        <w:rPr>
          <w:rFonts w:cs="Times New Roman"/>
          <w:b/>
        </w:rPr>
        <w:t>Business unit:</w:t>
      </w:r>
      <w:r w:rsidRPr="00291F64">
        <w:rPr>
          <w:rFonts w:cs="Times New Roman"/>
          <w:b/>
        </w:rPr>
        <w:t xml:space="preserve"> </w:t>
      </w:r>
      <w:r w:rsidR="006E07D7" w:rsidRPr="007B32EC">
        <w:rPr>
          <w:rFonts w:cs="Times New Roman"/>
        </w:rPr>
        <w:t>Human Resources</w:t>
      </w:r>
    </w:p>
    <w:p w:rsidR="00FC5039" w:rsidRPr="00291F64" w:rsidRDefault="00FC5039" w:rsidP="00FC5039">
      <w:pPr>
        <w:rPr>
          <w:rFonts w:cs="Times New Roman"/>
        </w:rPr>
      </w:pPr>
      <w:r w:rsidRPr="00291F64">
        <w:rPr>
          <w:rFonts w:cs="Times New Roman"/>
        </w:rPr>
        <w:t>Ongoing positions may be offered as a result of this process. Non-ongoing position(s) may be offered for a specified term of up to 18 months.</w:t>
      </w:r>
    </w:p>
    <w:p w:rsidR="00FC5039" w:rsidRPr="00291F64" w:rsidRDefault="00FC5039" w:rsidP="00FC5039">
      <w:pPr>
        <w:rPr>
          <w:rFonts w:cs="Times New Roman"/>
        </w:rPr>
      </w:pPr>
      <w:r w:rsidRPr="00291F64">
        <w:rPr>
          <w:rFonts w:cs="Times New Roman"/>
        </w:rPr>
        <w:t>The department is committed to having a flexible and inclusive workplace and recognises and values the diversity of the wider Australia community. We encourage and welcome applications from people with disability, Aboriginal and Torres Strait Islander peoples, LGBTIQ+ people, people from culturally and linguistically diverse backgrounds and mature age people.</w:t>
      </w:r>
    </w:p>
    <w:p w:rsidR="000403BF" w:rsidRPr="00F071B0" w:rsidRDefault="000403BF" w:rsidP="000403BF">
      <w:pPr>
        <w:pStyle w:val="Heading2"/>
        <w:pBdr>
          <w:bottom w:val="single" w:sz="24" w:space="1" w:color="50748A"/>
        </w:pBdr>
        <w:rPr>
          <w:sz w:val="28"/>
        </w:rPr>
      </w:pPr>
      <w:r w:rsidRPr="009B5F45">
        <w:rPr>
          <w:sz w:val="28"/>
        </w:rPr>
        <w:t>Our Opportunit</w:t>
      </w:r>
      <w:r w:rsidR="00B9539D">
        <w:rPr>
          <w:sz w:val="28"/>
        </w:rPr>
        <w:t>y</w:t>
      </w:r>
    </w:p>
    <w:p w:rsidR="000403BF" w:rsidRPr="00B8660B" w:rsidRDefault="000403BF" w:rsidP="000403BF">
      <w:pPr>
        <w:rPr>
          <w:rFonts w:cs="Times New Roman"/>
          <w:b/>
          <w:sz w:val="24"/>
        </w:rPr>
      </w:pPr>
      <w:r w:rsidRPr="00B8660B">
        <w:rPr>
          <w:rFonts w:cs="Times New Roman"/>
          <w:b/>
          <w:sz w:val="24"/>
        </w:rPr>
        <w:t>Role and expectations of the successful candidate:</w:t>
      </w:r>
    </w:p>
    <w:p w:rsidR="003A14E3" w:rsidRPr="00B8660B" w:rsidRDefault="00F6423E" w:rsidP="00B8660B">
      <w:pPr>
        <w:rPr>
          <w:rFonts w:cs="Times New Roman"/>
        </w:rPr>
      </w:pPr>
      <w:r w:rsidRPr="00B8660B">
        <w:rPr>
          <w:rFonts w:cs="Times New Roman"/>
        </w:rPr>
        <w:t xml:space="preserve">The Attorney-General’s Department </w:t>
      </w:r>
      <w:r w:rsidR="00002BD4" w:rsidRPr="00B8660B">
        <w:rPr>
          <w:rFonts w:cs="Times New Roman"/>
        </w:rPr>
        <w:t xml:space="preserve">is growing its workforce planning team to support the </w:t>
      </w:r>
      <w:r w:rsidRPr="00B8660B">
        <w:rPr>
          <w:rFonts w:cs="Times New Roman"/>
        </w:rPr>
        <w:t xml:space="preserve">launch </w:t>
      </w:r>
      <w:r w:rsidR="00002BD4" w:rsidRPr="00B8660B">
        <w:rPr>
          <w:rFonts w:cs="Times New Roman"/>
        </w:rPr>
        <w:t xml:space="preserve">of </w:t>
      </w:r>
      <w:r w:rsidRPr="00B8660B">
        <w:rPr>
          <w:rFonts w:cs="Times New Roman"/>
        </w:rPr>
        <w:t>our new workforce strategy</w:t>
      </w:r>
      <w:r w:rsidR="00002BD4" w:rsidRPr="00B8660B">
        <w:rPr>
          <w:rFonts w:cs="Times New Roman"/>
        </w:rPr>
        <w:t>.</w:t>
      </w:r>
      <w:r w:rsidRPr="00B8660B">
        <w:rPr>
          <w:rFonts w:cs="Times New Roman"/>
        </w:rPr>
        <w:t xml:space="preserve"> </w:t>
      </w:r>
      <w:r w:rsidR="006F54F8" w:rsidRPr="00B8660B">
        <w:rPr>
          <w:rFonts w:cs="Times New Roman"/>
        </w:rPr>
        <w:t xml:space="preserve">In this role, you will work closely with </w:t>
      </w:r>
      <w:r w:rsidR="003A14E3" w:rsidRPr="00B8660B">
        <w:rPr>
          <w:rFonts w:cs="Times New Roman"/>
        </w:rPr>
        <w:t xml:space="preserve">colleagues in HR, our Data and Behavioural Insights branch and stakeholders across the department </w:t>
      </w:r>
      <w:r w:rsidR="006F54F8" w:rsidRPr="00B8660B">
        <w:rPr>
          <w:rFonts w:cs="Times New Roman"/>
        </w:rPr>
        <w:t xml:space="preserve">to deliver a range of projects </w:t>
      </w:r>
      <w:r w:rsidRPr="00B8660B">
        <w:rPr>
          <w:rFonts w:cs="Times New Roman"/>
        </w:rPr>
        <w:t xml:space="preserve">following the finalisation of </w:t>
      </w:r>
      <w:r w:rsidR="006F54F8" w:rsidRPr="00B8660B">
        <w:rPr>
          <w:rFonts w:cs="Times New Roman"/>
        </w:rPr>
        <w:t xml:space="preserve">our Workforce Strategy. You will </w:t>
      </w:r>
      <w:r w:rsidR="003A14E3" w:rsidRPr="00B8660B">
        <w:rPr>
          <w:rFonts w:cs="Times New Roman"/>
        </w:rPr>
        <w:t xml:space="preserve">contribute to the design and delivery of efficient and effective management practices to support strategic and operational workforce planning. You will </w:t>
      </w:r>
      <w:r w:rsidR="006F54F8" w:rsidRPr="00B8660B">
        <w:rPr>
          <w:rFonts w:cs="Times New Roman"/>
        </w:rPr>
        <w:t>engage with the business on the delivery of projects</w:t>
      </w:r>
      <w:r w:rsidR="003A14E3" w:rsidRPr="00B8660B">
        <w:rPr>
          <w:rFonts w:cs="Times New Roman"/>
        </w:rPr>
        <w:t xml:space="preserve"> identified in our strategy to grow the department’s workforce planning culture. </w:t>
      </w:r>
    </w:p>
    <w:p w:rsidR="003A14E3" w:rsidRPr="00B8660B" w:rsidRDefault="003A14E3" w:rsidP="00B8660B">
      <w:pPr>
        <w:rPr>
          <w:rFonts w:cs="Times New Roman"/>
        </w:rPr>
      </w:pPr>
      <w:r w:rsidRPr="00B8660B">
        <w:rPr>
          <w:rFonts w:cs="Times New Roman"/>
        </w:rPr>
        <w:t>Preferred candidates will have experience in workforce planning</w:t>
      </w:r>
      <w:r w:rsidR="00B8660B" w:rsidRPr="00B8660B">
        <w:rPr>
          <w:rFonts w:cs="Times New Roman"/>
        </w:rPr>
        <w:t xml:space="preserve"> and analytics or related fields with transferrable skills.</w:t>
      </w:r>
    </w:p>
    <w:p w:rsidR="000403BF" w:rsidRPr="00F071B0" w:rsidRDefault="000403BF" w:rsidP="000403BF">
      <w:pPr>
        <w:pStyle w:val="Heading2"/>
        <w:pBdr>
          <w:bottom w:val="single" w:sz="24" w:space="1" w:color="50748A"/>
        </w:pBdr>
        <w:rPr>
          <w:sz w:val="28"/>
        </w:rPr>
      </w:pPr>
      <w:r w:rsidRPr="009B5F45">
        <w:rPr>
          <w:sz w:val="28"/>
        </w:rPr>
        <w:t>Who are we looking for?</w:t>
      </w:r>
    </w:p>
    <w:p w:rsidR="000403BF" w:rsidRDefault="000403BF" w:rsidP="000403BF">
      <w:pPr>
        <w:rPr>
          <w:rFonts w:cs="Times New Roman"/>
        </w:rPr>
      </w:pPr>
      <w:r w:rsidRPr="00171B05">
        <w:rPr>
          <w:rFonts w:cs="Times New Roman"/>
        </w:rPr>
        <w:t xml:space="preserve">We seek people who bring external ideas, diverse experience, and global perspectives, and are willing to explore innovative ways of working. People who work for us will display leadership at all levels, apply information effectively in order to solve problems, and work collaboratively to achieve outcomes. </w:t>
      </w:r>
    </w:p>
    <w:p w:rsidR="004F4A46" w:rsidRPr="00B8660B" w:rsidRDefault="004F4A46" w:rsidP="00B8660B">
      <w:pPr>
        <w:rPr>
          <w:rFonts w:cs="Times New Roman"/>
        </w:rPr>
      </w:pPr>
      <w:r w:rsidRPr="00B8660B">
        <w:rPr>
          <w:rFonts w:cs="Times New Roman"/>
        </w:rPr>
        <w:t>Workforce Planners analyse current workforce external and internal environments to forecast future workforce needs, ensuring the</w:t>
      </w:r>
      <w:r w:rsidR="00EE571D">
        <w:rPr>
          <w:rFonts w:cs="Times New Roman"/>
        </w:rPr>
        <w:t xml:space="preserve"> department</w:t>
      </w:r>
      <w:r w:rsidRPr="00B8660B">
        <w:rPr>
          <w:rFonts w:cs="Times New Roman"/>
        </w:rPr>
        <w:t xml:space="preserve"> can achieve its strategic priorities. They achieve this by identifying, analysing and monitoring current and future business priorities and workforce needs, develop strategies, policies and guidelines to implement changes required to meet evolving workforce priorities. Workforce Planners need to be solutions focused to develop short-medium term operational workforce plans.</w:t>
      </w:r>
    </w:p>
    <w:p w:rsidR="00B8660B" w:rsidRDefault="004F4A46" w:rsidP="00B8660B">
      <w:pPr>
        <w:rPr>
          <w:rFonts w:cs="Times New Roman"/>
        </w:rPr>
      </w:pPr>
      <w:r w:rsidRPr="00B8660B">
        <w:rPr>
          <w:rFonts w:cs="Times New Roman"/>
        </w:rPr>
        <w:t>We are seeking candidates who can work in a</w:t>
      </w:r>
      <w:r w:rsidR="00B8660B" w:rsidRPr="00B8660B">
        <w:rPr>
          <w:rFonts w:cs="Times New Roman"/>
        </w:rPr>
        <w:t xml:space="preserve"> growing team</w:t>
      </w:r>
      <w:r w:rsidRPr="00B8660B">
        <w:rPr>
          <w:rFonts w:cs="Times New Roman"/>
        </w:rPr>
        <w:t xml:space="preserve"> under limited direction to support </w:t>
      </w:r>
      <w:r w:rsidR="00B8660B" w:rsidRPr="00B8660B">
        <w:rPr>
          <w:rFonts w:cs="Times New Roman"/>
        </w:rPr>
        <w:t xml:space="preserve">operation and </w:t>
      </w:r>
      <w:r w:rsidRPr="00B8660B">
        <w:rPr>
          <w:rFonts w:cs="Times New Roman"/>
        </w:rPr>
        <w:t xml:space="preserve">strategic workforce planning, data analysis and research tasks. We seek people who </w:t>
      </w:r>
      <w:r w:rsidRPr="00B8660B">
        <w:rPr>
          <w:rFonts w:cs="Times New Roman"/>
        </w:rPr>
        <w:lastRenderedPageBreak/>
        <w:t>deliver quality and timely work outcomes, and have good teamwork and stakeholder management skills.</w:t>
      </w:r>
    </w:p>
    <w:p w:rsidR="004F4A46" w:rsidRPr="00B8660B" w:rsidRDefault="00B8660B" w:rsidP="00B8660B">
      <w:pPr>
        <w:shd w:val="clear" w:color="auto" w:fill="FFFFFF"/>
        <w:rPr>
          <w:rFonts w:cs="Times New Roman"/>
          <w:b/>
        </w:rPr>
      </w:pPr>
      <w:r w:rsidRPr="00B8660B">
        <w:rPr>
          <w:rFonts w:cs="Times New Roman"/>
          <w:b/>
        </w:rPr>
        <w:t>Specific requirements</w:t>
      </w:r>
      <w:r w:rsidR="004F4A46" w:rsidRPr="00B8660B">
        <w:rPr>
          <w:rFonts w:cs="Times New Roman"/>
          <w:b/>
        </w:rPr>
        <w:t xml:space="preserve"> </w:t>
      </w:r>
      <w:r w:rsidRPr="00B8660B">
        <w:rPr>
          <w:rFonts w:cs="Times New Roman"/>
          <w:b/>
        </w:rPr>
        <w:t xml:space="preserve">of the role </w:t>
      </w:r>
      <w:r w:rsidR="004F4A46" w:rsidRPr="00B8660B">
        <w:rPr>
          <w:rFonts w:cs="Times New Roman"/>
          <w:b/>
        </w:rPr>
        <w:t>include:</w:t>
      </w:r>
    </w:p>
    <w:p w:rsidR="004F4A46" w:rsidRPr="00B8660B" w:rsidRDefault="004F4A46" w:rsidP="00B8660B">
      <w:pPr>
        <w:pStyle w:val="ListParagraph"/>
        <w:numPr>
          <w:ilvl w:val="0"/>
          <w:numId w:val="2"/>
        </w:numPr>
        <w:shd w:val="clear" w:color="auto" w:fill="FFFFFF"/>
        <w:spacing w:before="120" w:after="0" w:line="240" w:lineRule="auto"/>
        <w:textAlignment w:val="top"/>
        <w:rPr>
          <w:sz w:val="22"/>
          <w:szCs w:val="22"/>
        </w:rPr>
      </w:pPr>
      <w:r w:rsidRPr="00B8660B">
        <w:rPr>
          <w:sz w:val="22"/>
          <w:szCs w:val="22"/>
        </w:rPr>
        <w:t>partnering with business areas to develop and implement operational workforce plans</w:t>
      </w:r>
    </w:p>
    <w:p w:rsidR="004F4A46" w:rsidRPr="00B8660B" w:rsidRDefault="004F4A46" w:rsidP="00B8660B">
      <w:pPr>
        <w:pStyle w:val="ListParagraph"/>
        <w:numPr>
          <w:ilvl w:val="0"/>
          <w:numId w:val="2"/>
        </w:numPr>
        <w:shd w:val="clear" w:color="auto" w:fill="FFFFFF"/>
        <w:spacing w:before="120" w:after="0" w:line="240" w:lineRule="auto"/>
        <w:textAlignment w:val="top"/>
        <w:rPr>
          <w:sz w:val="22"/>
          <w:szCs w:val="22"/>
        </w:rPr>
      </w:pPr>
      <w:r w:rsidRPr="00B8660B">
        <w:rPr>
          <w:sz w:val="22"/>
          <w:szCs w:val="22"/>
        </w:rPr>
        <w:t>leading or supporting project work to implement workforce strategies</w:t>
      </w:r>
    </w:p>
    <w:p w:rsidR="004F4A46" w:rsidRPr="00B8660B" w:rsidRDefault="004F4A46" w:rsidP="00B8660B">
      <w:pPr>
        <w:pStyle w:val="ListParagraph"/>
        <w:numPr>
          <w:ilvl w:val="0"/>
          <w:numId w:val="2"/>
        </w:numPr>
        <w:shd w:val="clear" w:color="auto" w:fill="FFFFFF"/>
        <w:spacing w:before="120" w:after="0" w:line="240" w:lineRule="auto"/>
        <w:textAlignment w:val="top"/>
        <w:rPr>
          <w:sz w:val="22"/>
          <w:szCs w:val="22"/>
        </w:rPr>
      </w:pPr>
      <w:r w:rsidRPr="00B8660B">
        <w:rPr>
          <w:sz w:val="22"/>
          <w:szCs w:val="22"/>
        </w:rPr>
        <w:t>engaging with business areas by providing expert advice and analysis of their workforce, including responding to and managing changes to work programs</w:t>
      </w:r>
    </w:p>
    <w:p w:rsidR="004F4A46" w:rsidRPr="00B8660B" w:rsidRDefault="004F4A46" w:rsidP="00B8660B">
      <w:pPr>
        <w:pStyle w:val="ListParagraph"/>
        <w:numPr>
          <w:ilvl w:val="0"/>
          <w:numId w:val="2"/>
        </w:numPr>
        <w:shd w:val="clear" w:color="auto" w:fill="FFFFFF"/>
        <w:spacing w:before="120" w:after="0" w:line="240" w:lineRule="auto"/>
        <w:textAlignment w:val="top"/>
        <w:rPr>
          <w:sz w:val="22"/>
          <w:szCs w:val="22"/>
        </w:rPr>
      </w:pPr>
      <w:r w:rsidRPr="00B8660B">
        <w:rPr>
          <w:sz w:val="22"/>
          <w:szCs w:val="22"/>
        </w:rPr>
        <w:t>providing business intelligence to confirm HR data and use HR metrics to inform and measure workforce actions</w:t>
      </w:r>
    </w:p>
    <w:p w:rsidR="00B8660B" w:rsidRPr="00B8660B" w:rsidRDefault="004F4A46" w:rsidP="00B8660B">
      <w:pPr>
        <w:pStyle w:val="ListParagraph"/>
        <w:numPr>
          <w:ilvl w:val="0"/>
          <w:numId w:val="2"/>
        </w:numPr>
        <w:shd w:val="clear" w:color="auto" w:fill="FFFFFF"/>
        <w:spacing w:before="120" w:line="240" w:lineRule="auto"/>
        <w:textAlignment w:val="top"/>
        <w:rPr>
          <w:sz w:val="22"/>
          <w:szCs w:val="22"/>
        </w:rPr>
      </w:pPr>
      <w:r w:rsidRPr="00B8660B">
        <w:rPr>
          <w:sz w:val="22"/>
          <w:szCs w:val="22"/>
        </w:rPr>
        <w:t>developing practical strategies to support business areas with staffing requirements</w:t>
      </w:r>
      <w:r w:rsidR="00B9539D">
        <w:rPr>
          <w:sz w:val="22"/>
          <w:szCs w:val="22"/>
        </w:rPr>
        <w:t>.</w:t>
      </w:r>
    </w:p>
    <w:p w:rsidR="00B8660B" w:rsidRPr="00B9539D" w:rsidRDefault="00B8660B" w:rsidP="00B8660B">
      <w:pPr>
        <w:shd w:val="clear" w:color="auto" w:fill="FFFFFF"/>
        <w:rPr>
          <w:rFonts w:cs="Times New Roman"/>
          <w:b/>
        </w:rPr>
      </w:pPr>
      <w:r w:rsidRPr="00B9539D">
        <w:rPr>
          <w:rFonts w:cs="Times New Roman"/>
          <w:b/>
        </w:rPr>
        <w:t>We are seeking candidates who:</w:t>
      </w:r>
    </w:p>
    <w:p w:rsidR="004F4A46" w:rsidRPr="00B8660B" w:rsidRDefault="00B9539D" w:rsidP="00B8660B">
      <w:pPr>
        <w:pStyle w:val="ListParagraph"/>
        <w:numPr>
          <w:ilvl w:val="0"/>
          <w:numId w:val="2"/>
        </w:numPr>
        <w:shd w:val="clear" w:color="auto" w:fill="FFFFFF"/>
        <w:spacing w:before="120" w:after="0" w:line="240" w:lineRule="auto"/>
        <w:textAlignment w:val="top"/>
        <w:rPr>
          <w:sz w:val="22"/>
          <w:szCs w:val="22"/>
        </w:rPr>
      </w:pPr>
      <w:r>
        <w:rPr>
          <w:sz w:val="22"/>
          <w:szCs w:val="22"/>
        </w:rPr>
        <w:t>p</w:t>
      </w:r>
      <w:r w:rsidR="004F4A46" w:rsidRPr="00B8660B">
        <w:rPr>
          <w:sz w:val="22"/>
          <w:szCs w:val="22"/>
        </w:rPr>
        <w:t>ossess well-developed interpersonal skills and the ability to engage with and develop collaborative working relationships with key stakeholders</w:t>
      </w:r>
    </w:p>
    <w:p w:rsidR="004F4A46" w:rsidRPr="00B8660B" w:rsidRDefault="00B9539D" w:rsidP="00B8660B">
      <w:pPr>
        <w:pStyle w:val="ListParagraph"/>
        <w:numPr>
          <w:ilvl w:val="0"/>
          <w:numId w:val="2"/>
        </w:numPr>
        <w:shd w:val="clear" w:color="auto" w:fill="FFFFFF"/>
        <w:spacing w:before="120" w:after="0" w:line="240" w:lineRule="auto"/>
        <w:textAlignment w:val="top"/>
        <w:rPr>
          <w:sz w:val="22"/>
          <w:szCs w:val="22"/>
        </w:rPr>
      </w:pPr>
      <w:r>
        <w:rPr>
          <w:sz w:val="22"/>
          <w:szCs w:val="22"/>
        </w:rPr>
        <w:t>p</w:t>
      </w:r>
      <w:r w:rsidR="004F4A46" w:rsidRPr="00B8660B">
        <w:rPr>
          <w:sz w:val="22"/>
          <w:szCs w:val="22"/>
        </w:rPr>
        <w:t xml:space="preserve">ossess strong integrity, resilience and </w:t>
      </w:r>
      <w:r w:rsidR="00B8660B" w:rsidRPr="00B8660B">
        <w:rPr>
          <w:sz w:val="22"/>
          <w:szCs w:val="22"/>
        </w:rPr>
        <w:t>problem-solving</w:t>
      </w:r>
      <w:r w:rsidR="004F4A46" w:rsidRPr="00B8660B">
        <w:rPr>
          <w:sz w:val="22"/>
          <w:szCs w:val="22"/>
        </w:rPr>
        <w:t xml:space="preserve"> skills</w:t>
      </w:r>
    </w:p>
    <w:p w:rsidR="004F4A46" w:rsidRPr="00B8660B" w:rsidRDefault="00B9539D" w:rsidP="00B8660B">
      <w:pPr>
        <w:pStyle w:val="ListParagraph"/>
        <w:numPr>
          <w:ilvl w:val="0"/>
          <w:numId w:val="2"/>
        </w:numPr>
        <w:shd w:val="clear" w:color="auto" w:fill="FFFFFF"/>
        <w:spacing w:before="120" w:after="0" w:line="240" w:lineRule="auto"/>
        <w:textAlignment w:val="top"/>
        <w:rPr>
          <w:sz w:val="22"/>
          <w:szCs w:val="22"/>
        </w:rPr>
      </w:pPr>
      <w:r>
        <w:rPr>
          <w:sz w:val="22"/>
          <w:szCs w:val="22"/>
        </w:rPr>
        <w:t>c</w:t>
      </w:r>
      <w:r w:rsidR="004F4A46" w:rsidRPr="00B8660B">
        <w:rPr>
          <w:sz w:val="22"/>
          <w:szCs w:val="22"/>
        </w:rPr>
        <w:t>an demonstrate initiative, sound judgement and strong organisation skills</w:t>
      </w:r>
    </w:p>
    <w:p w:rsidR="004F4A46" w:rsidRPr="00B8660B" w:rsidRDefault="00B9539D" w:rsidP="00B8660B">
      <w:pPr>
        <w:pStyle w:val="ListParagraph"/>
        <w:numPr>
          <w:ilvl w:val="0"/>
          <w:numId w:val="2"/>
        </w:numPr>
        <w:shd w:val="clear" w:color="auto" w:fill="FFFFFF"/>
        <w:spacing w:before="120" w:after="0" w:line="240" w:lineRule="auto"/>
        <w:textAlignment w:val="top"/>
        <w:rPr>
          <w:sz w:val="22"/>
          <w:szCs w:val="22"/>
        </w:rPr>
      </w:pPr>
      <w:r>
        <w:rPr>
          <w:sz w:val="22"/>
          <w:szCs w:val="22"/>
        </w:rPr>
        <w:t>c</w:t>
      </w:r>
      <w:r w:rsidR="004F4A46" w:rsidRPr="00B8660B">
        <w:rPr>
          <w:sz w:val="22"/>
          <w:szCs w:val="22"/>
        </w:rPr>
        <w:t>an draw from their expertise to solve problems, identify improvements and offer credible, consistent advice.</w:t>
      </w:r>
    </w:p>
    <w:p w:rsidR="000403BF" w:rsidRPr="00171B05" w:rsidRDefault="000403BF" w:rsidP="000403BF">
      <w:pPr>
        <w:shd w:val="clear" w:color="auto" w:fill="FFFFFF"/>
        <w:spacing w:before="120" w:after="0" w:line="240" w:lineRule="auto"/>
        <w:textAlignment w:val="top"/>
        <w:rPr>
          <w:rFonts w:cs="Times New Roman"/>
        </w:rPr>
      </w:pPr>
      <w:r w:rsidRPr="00171B05">
        <w:rPr>
          <w:rFonts w:cs="Times New Roman"/>
        </w:rPr>
        <w:t xml:space="preserve">Please refer to the </w:t>
      </w:r>
      <w:hyperlink r:id="rId10" w:history="1">
        <w:r w:rsidRPr="00AB4F44">
          <w:rPr>
            <w:rFonts w:cs="Times New Roman"/>
            <w:color w:val="002060"/>
            <w:u w:val="single"/>
          </w:rPr>
          <w:t>AGD Performance Expectations</w:t>
        </w:r>
      </w:hyperlink>
      <w:r>
        <w:rPr>
          <w:rFonts w:cs="Times New Roman"/>
          <w:color w:val="595959"/>
        </w:rPr>
        <w:t xml:space="preserve"> </w:t>
      </w:r>
      <w:r w:rsidRPr="00171B05">
        <w:rPr>
          <w:rFonts w:cs="Times New Roman"/>
        </w:rPr>
        <w:t>for more detail.</w:t>
      </w:r>
      <w:r w:rsidR="009C3B06" w:rsidRPr="00171B05">
        <w:rPr>
          <w:rFonts w:cs="Times New Roman"/>
        </w:rPr>
        <w:br/>
      </w:r>
    </w:p>
    <w:p w:rsidR="000403BF" w:rsidRPr="00171B05" w:rsidRDefault="000403BF" w:rsidP="000403BF">
      <w:pPr>
        <w:rPr>
          <w:rFonts w:cs="Times New Roman"/>
        </w:rPr>
      </w:pPr>
      <w:r w:rsidRPr="00171B05">
        <w:rPr>
          <w:rFonts w:cs="Times New Roman"/>
        </w:rPr>
        <w:t>The range and nature of work within the Attorney-General’s Department requires a workforce that reflects our diverse society and the department provides a number of support mechanisms for employees.</w:t>
      </w:r>
    </w:p>
    <w:p w:rsidR="000403BF" w:rsidRPr="00171B05" w:rsidRDefault="000403BF" w:rsidP="00067470">
      <w:pPr>
        <w:spacing w:after="40"/>
        <w:rPr>
          <w:rFonts w:cs="Times New Roman"/>
        </w:rPr>
      </w:pPr>
      <w:r w:rsidRPr="00171B05">
        <w:rPr>
          <w:rFonts w:cs="Times New Roman"/>
        </w:rPr>
        <w:t>As an AGD employee, you will:</w:t>
      </w:r>
    </w:p>
    <w:p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be part of an inclusive and diverse work environment</w:t>
      </w:r>
    </w:p>
    <w:p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receive a generous starting salary and work conditions</w:t>
      </w:r>
    </w:p>
    <w:p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benefit from supportive learning and development</w:t>
      </w:r>
    </w:p>
    <w:p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be supported by a range of active networks including the Indigenous Employee Network, the Celeb</w:t>
      </w:r>
      <w:r w:rsidR="00F83C9F" w:rsidRPr="00171B05">
        <w:rPr>
          <w:rFonts w:eastAsia="Calibri"/>
          <w:sz w:val="22"/>
          <w:szCs w:val="22"/>
          <w:lang w:eastAsia="en-US"/>
        </w:rPr>
        <w:t>rating Ability Network, the Wome</w:t>
      </w:r>
      <w:r w:rsidRPr="00171B05">
        <w:rPr>
          <w:rFonts w:eastAsia="Calibri"/>
          <w:sz w:val="22"/>
          <w:szCs w:val="22"/>
          <w:lang w:eastAsia="en-US"/>
        </w:rPr>
        <w:t>n’s Network, the Pride Network and the Cultural and Linguistically Diverse Network.</w:t>
      </w:r>
    </w:p>
    <w:p w:rsidR="000403BF" w:rsidRPr="00252957" w:rsidRDefault="000403BF" w:rsidP="000403BF">
      <w:pPr>
        <w:rPr>
          <w:rFonts w:eastAsia="Times New Roman"/>
          <w:color w:val="111111"/>
        </w:rPr>
      </w:pPr>
      <w:r w:rsidRPr="00171B05">
        <w:rPr>
          <w:rFonts w:cs="Times New Roman"/>
        </w:rPr>
        <w:t xml:space="preserve">To see further information regarding our support for our employees, please see our </w:t>
      </w:r>
      <w:hyperlink r:id="rId11" w:history="1">
        <w:r w:rsidRPr="00AB4F44">
          <w:rPr>
            <w:rFonts w:cs="Times New Roman"/>
            <w:color w:val="002060"/>
            <w:u w:val="single"/>
          </w:rPr>
          <w:t>Workplace Diversity Page</w:t>
        </w:r>
      </w:hyperlink>
      <w:r w:rsidRPr="00AB4F44">
        <w:rPr>
          <w:rFonts w:cs="Times New Roman"/>
          <w:color w:val="002060"/>
          <w:u w:val="single"/>
        </w:rPr>
        <w:t>.</w:t>
      </w:r>
    </w:p>
    <w:p w:rsidR="000403BF" w:rsidRPr="00F071B0" w:rsidRDefault="00067470" w:rsidP="000403BF">
      <w:pPr>
        <w:pStyle w:val="Heading2"/>
        <w:pBdr>
          <w:bottom w:val="single" w:sz="24" w:space="1" w:color="50748A"/>
        </w:pBdr>
        <w:rPr>
          <w:sz w:val="28"/>
        </w:rPr>
      </w:pPr>
      <w:r>
        <w:rPr>
          <w:sz w:val="28"/>
        </w:rPr>
        <w:t>The selection process may entail</w:t>
      </w:r>
    </w:p>
    <w:p w:rsidR="000403BF" w:rsidRPr="00171B05" w:rsidRDefault="000403BF" w:rsidP="000403BF">
      <w:pPr>
        <w:rPr>
          <w:rFonts w:cs="Times New Roman"/>
        </w:rPr>
      </w:pPr>
      <w:r w:rsidRPr="00171B05">
        <w:rPr>
          <w:rFonts w:cs="Times New Roman"/>
        </w:rPr>
        <w:t>AGD uses a range of assessment processes to assist us in selecting suitable applicants. We uphold the Merit Principle and our processes are designed to select the best available person for the job.</w:t>
      </w:r>
    </w:p>
    <w:tbl>
      <w:tblPr>
        <w:tblStyle w:val="TableGridLight"/>
        <w:tblW w:w="0" w:type="auto"/>
        <w:tblLook w:val="04A0" w:firstRow="1" w:lastRow="0" w:firstColumn="1" w:lastColumn="0" w:noHBand="0" w:noVBand="1"/>
        <w:tblCaption w:val="Selection Process"/>
      </w:tblPr>
      <w:tblGrid>
        <w:gridCol w:w="691"/>
        <w:gridCol w:w="1087"/>
        <w:gridCol w:w="7238"/>
      </w:tblGrid>
      <w:tr w:rsidR="000403BF" w:rsidTr="00B8660B">
        <w:tc>
          <w:tcPr>
            <w:tcW w:w="691" w:type="dxa"/>
            <w:vAlign w:val="center"/>
          </w:tcPr>
          <w:p w:rsidR="000403BF" w:rsidRPr="00370BC0" w:rsidRDefault="000403BF" w:rsidP="00CE0DAD">
            <w:pPr>
              <w:jc w:val="center"/>
              <w:rPr>
                <w:rFonts w:eastAsia="Times New Roman"/>
                <w:b/>
                <w:color w:val="50748A"/>
                <w:sz w:val="48"/>
                <w:szCs w:val="48"/>
              </w:rPr>
            </w:pPr>
            <w:r w:rsidRPr="00370BC0">
              <w:rPr>
                <w:rFonts w:eastAsia="Times New Roman"/>
                <w:b/>
                <w:color w:val="50748A"/>
                <w:sz w:val="48"/>
                <w:szCs w:val="48"/>
              </w:rPr>
              <w:t>1</w:t>
            </w:r>
            <w:r w:rsidRPr="00370BC0">
              <w:rPr>
                <w:b/>
                <w:color w:val="31849B"/>
                <w:sz w:val="48"/>
                <w:szCs w:val="48"/>
              </w:rPr>
              <w:t>.</w:t>
            </w:r>
          </w:p>
        </w:tc>
        <w:tc>
          <w:tcPr>
            <w:tcW w:w="1087" w:type="dxa"/>
            <w:vAlign w:val="center"/>
          </w:tcPr>
          <w:p w:rsidR="000403BF" w:rsidRPr="0042327D" w:rsidRDefault="000403BF" w:rsidP="00CE0DAD">
            <w:pPr>
              <w:jc w:val="center"/>
              <w:rPr>
                <w:rFonts w:eastAsia="Times New Roman"/>
                <w:b/>
                <w:sz w:val="21"/>
                <w:szCs w:val="21"/>
              </w:rPr>
            </w:pPr>
            <w:r w:rsidRPr="0042327D">
              <w:rPr>
                <w:rFonts w:eastAsia="Times New Roman"/>
                <w:b/>
                <w:sz w:val="21"/>
                <w:szCs w:val="21"/>
              </w:rPr>
              <w:t>Submit</w:t>
            </w:r>
          </w:p>
        </w:tc>
        <w:tc>
          <w:tcPr>
            <w:tcW w:w="7238" w:type="dxa"/>
          </w:tcPr>
          <w:p w:rsidR="000403BF" w:rsidRPr="0042327D" w:rsidRDefault="000403BF" w:rsidP="00CE0DAD">
            <w:pPr>
              <w:rPr>
                <w:rFonts w:eastAsia="Times New Roman"/>
                <w:sz w:val="21"/>
                <w:szCs w:val="21"/>
              </w:rPr>
            </w:pPr>
            <w:r w:rsidRPr="00171B05">
              <w:rPr>
                <w:rFonts w:asciiTheme="minorHAnsi" w:eastAsiaTheme="minorHAnsi" w:hAnsiTheme="minorHAnsi"/>
                <w:sz w:val="22"/>
                <w:szCs w:val="22"/>
                <w:lang w:val="en-GB" w:eastAsia="en-US"/>
              </w:rPr>
              <w:t>Complete and submit your resume, referees and statement of claims (max. 750 words).</w:t>
            </w:r>
          </w:p>
        </w:tc>
      </w:tr>
      <w:tr w:rsidR="000403BF" w:rsidTr="00B8660B">
        <w:tc>
          <w:tcPr>
            <w:tcW w:w="691" w:type="dxa"/>
            <w:vAlign w:val="center"/>
          </w:tcPr>
          <w:p w:rsidR="000403BF" w:rsidRPr="00370BC0" w:rsidRDefault="000403BF" w:rsidP="00CE0DAD">
            <w:pPr>
              <w:jc w:val="center"/>
              <w:rPr>
                <w:rFonts w:eastAsia="Times New Roman"/>
                <w:b/>
                <w:color w:val="50748A"/>
                <w:sz w:val="48"/>
                <w:szCs w:val="48"/>
              </w:rPr>
            </w:pPr>
            <w:r w:rsidRPr="00370BC0">
              <w:rPr>
                <w:rFonts w:eastAsia="Times New Roman"/>
                <w:b/>
                <w:color w:val="50748A"/>
                <w:sz w:val="48"/>
                <w:szCs w:val="48"/>
              </w:rPr>
              <w:t>2.</w:t>
            </w:r>
          </w:p>
        </w:tc>
        <w:tc>
          <w:tcPr>
            <w:tcW w:w="1087" w:type="dxa"/>
            <w:vAlign w:val="center"/>
          </w:tcPr>
          <w:p w:rsidR="000403BF" w:rsidRPr="0042327D" w:rsidRDefault="000403BF" w:rsidP="00CE0DAD">
            <w:pPr>
              <w:jc w:val="center"/>
              <w:rPr>
                <w:rFonts w:eastAsia="Times New Roman"/>
                <w:b/>
                <w:sz w:val="21"/>
                <w:szCs w:val="21"/>
              </w:rPr>
            </w:pPr>
            <w:r w:rsidRPr="0042327D">
              <w:rPr>
                <w:rFonts w:eastAsia="Times New Roman"/>
                <w:b/>
                <w:sz w:val="21"/>
                <w:szCs w:val="21"/>
              </w:rPr>
              <w:t>Shortlist</w:t>
            </w:r>
          </w:p>
        </w:tc>
        <w:tc>
          <w:tcPr>
            <w:tcW w:w="7238" w:type="dxa"/>
          </w:tcPr>
          <w:p w:rsidR="000403BF" w:rsidRPr="0042327D" w:rsidRDefault="000403BF" w:rsidP="00CE0DAD">
            <w:pPr>
              <w:rPr>
                <w:rFonts w:eastAsia="Times New Roman"/>
                <w:sz w:val="21"/>
                <w:szCs w:val="21"/>
              </w:rPr>
            </w:pPr>
            <w:r w:rsidRPr="00171B05">
              <w:rPr>
                <w:rFonts w:asciiTheme="minorHAnsi" w:eastAsiaTheme="minorHAnsi" w:hAnsiTheme="minorHAnsi"/>
                <w:sz w:val="22"/>
                <w:szCs w:val="22"/>
                <w:lang w:val="en-GB" w:eastAsia="en-US"/>
              </w:rPr>
              <w:t xml:space="preserve">We will assess your written application using the relevant </w:t>
            </w:r>
            <w:hyperlink r:id="rId12" w:history="1">
              <w:r w:rsidRPr="000403BF">
                <w:rPr>
                  <w:rFonts w:asciiTheme="minorHAnsi" w:eastAsiaTheme="minorHAnsi" w:hAnsiTheme="minorHAnsi"/>
                  <w:color w:val="002060"/>
                  <w:sz w:val="22"/>
                  <w:szCs w:val="22"/>
                  <w:u w:val="single"/>
                  <w:lang w:val="en-GB" w:eastAsia="en-US"/>
                </w:rPr>
                <w:t>AGD Performance Expectations</w:t>
              </w:r>
            </w:hyperlink>
            <w:r w:rsidRPr="000403BF">
              <w:rPr>
                <w:rFonts w:asciiTheme="minorHAnsi" w:eastAsiaTheme="minorHAnsi" w:hAnsiTheme="minorHAnsi"/>
                <w:color w:val="002060"/>
                <w:sz w:val="22"/>
                <w:szCs w:val="22"/>
                <w:u w:val="single"/>
                <w:lang w:val="en-GB" w:eastAsia="en-US"/>
              </w:rPr>
              <w:t xml:space="preserve">. </w:t>
            </w:r>
          </w:p>
        </w:tc>
      </w:tr>
      <w:tr w:rsidR="000403BF" w:rsidTr="00B8660B">
        <w:tc>
          <w:tcPr>
            <w:tcW w:w="691" w:type="dxa"/>
            <w:vAlign w:val="center"/>
          </w:tcPr>
          <w:p w:rsidR="000403BF" w:rsidRPr="00370BC0" w:rsidRDefault="000403BF" w:rsidP="00CE0DAD">
            <w:pPr>
              <w:jc w:val="center"/>
              <w:rPr>
                <w:rFonts w:eastAsia="Times New Roman"/>
                <w:b/>
                <w:color w:val="50748A"/>
                <w:sz w:val="48"/>
                <w:szCs w:val="48"/>
              </w:rPr>
            </w:pPr>
            <w:r w:rsidRPr="00370BC0">
              <w:rPr>
                <w:rFonts w:eastAsia="Times New Roman"/>
                <w:b/>
                <w:color w:val="50748A"/>
                <w:sz w:val="48"/>
                <w:szCs w:val="48"/>
              </w:rPr>
              <w:t>3.</w:t>
            </w:r>
          </w:p>
        </w:tc>
        <w:tc>
          <w:tcPr>
            <w:tcW w:w="1087" w:type="dxa"/>
            <w:vAlign w:val="center"/>
          </w:tcPr>
          <w:p w:rsidR="000403BF" w:rsidRPr="0042327D" w:rsidRDefault="000403BF" w:rsidP="00CE0DAD">
            <w:pPr>
              <w:jc w:val="center"/>
              <w:rPr>
                <w:rFonts w:eastAsia="Times New Roman"/>
                <w:b/>
                <w:sz w:val="21"/>
                <w:szCs w:val="21"/>
              </w:rPr>
            </w:pPr>
            <w:r w:rsidRPr="0042327D">
              <w:rPr>
                <w:rFonts w:eastAsia="Times New Roman"/>
                <w:b/>
                <w:sz w:val="21"/>
                <w:szCs w:val="21"/>
              </w:rPr>
              <w:t>Interview</w:t>
            </w:r>
          </w:p>
        </w:tc>
        <w:tc>
          <w:tcPr>
            <w:tcW w:w="7238" w:type="dxa"/>
          </w:tcPr>
          <w:p w:rsidR="000403BF" w:rsidRPr="00171B05" w:rsidRDefault="000403BF" w:rsidP="00CE0DAD">
            <w:pPr>
              <w:rPr>
                <w:rFonts w:eastAsia="Times New Roman"/>
                <w:sz w:val="21"/>
                <w:szCs w:val="21"/>
              </w:rPr>
            </w:pPr>
            <w:r w:rsidRPr="00171B05">
              <w:rPr>
                <w:rFonts w:asciiTheme="minorHAnsi" w:eastAsiaTheme="minorHAnsi" w:hAnsiTheme="minorHAnsi"/>
                <w:sz w:val="22"/>
                <w:szCs w:val="22"/>
                <w:lang w:val="en-GB" w:eastAsia="en-US"/>
              </w:rPr>
              <w:t>If your application is found successful, you can come to an interview either in person or via telephone or video.</w:t>
            </w:r>
          </w:p>
        </w:tc>
      </w:tr>
      <w:tr w:rsidR="004A0CAE" w:rsidTr="00B8660B">
        <w:tc>
          <w:tcPr>
            <w:tcW w:w="691" w:type="dxa"/>
            <w:vAlign w:val="center"/>
          </w:tcPr>
          <w:p w:rsidR="004A0CAE" w:rsidRPr="00370BC0" w:rsidRDefault="004A0CAE" w:rsidP="004A0CAE">
            <w:pPr>
              <w:jc w:val="center"/>
              <w:rPr>
                <w:rFonts w:eastAsia="Times New Roman"/>
                <w:b/>
                <w:color w:val="50748A"/>
                <w:sz w:val="48"/>
                <w:szCs w:val="48"/>
              </w:rPr>
            </w:pPr>
            <w:r w:rsidRPr="00370BC0">
              <w:rPr>
                <w:rFonts w:eastAsia="Times New Roman"/>
                <w:b/>
                <w:color w:val="50748A"/>
                <w:sz w:val="48"/>
                <w:szCs w:val="48"/>
              </w:rPr>
              <w:t>4.</w:t>
            </w:r>
          </w:p>
        </w:tc>
        <w:tc>
          <w:tcPr>
            <w:tcW w:w="1087" w:type="dxa"/>
            <w:vAlign w:val="center"/>
          </w:tcPr>
          <w:p w:rsidR="004A0CAE" w:rsidRPr="0042327D" w:rsidRDefault="004A0CAE" w:rsidP="004A0CAE">
            <w:pPr>
              <w:jc w:val="center"/>
              <w:rPr>
                <w:rFonts w:eastAsia="Times New Roman"/>
                <w:b/>
                <w:sz w:val="21"/>
                <w:szCs w:val="21"/>
              </w:rPr>
            </w:pPr>
            <w:r>
              <w:rPr>
                <w:rFonts w:eastAsia="Times New Roman"/>
                <w:b/>
                <w:sz w:val="21"/>
                <w:szCs w:val="21"/>
              </w:rPr>
              <w:t>Work Sample Test</w:t>
            </w:r>
          </w:p>
        </w:tc>
        <w:tc>
          <w:tcPr>
            <w:tcW w:w="7238" w:type="dxa"/>
          </w:tcPr>
          <w:p w:rsidR="004A0CAE" w:rsidRPr="00171B05" w:rsidRDefault="004A0CAE" w:rsidP="004A0CAE">
            <w:r w:rsidRPr="00171B05">
              <w:rPr>
                <w:rFonts w:asciiTheme="minorHAnsi" w:eastAsiaTheme="minorHAnsi" w:hAnsiTheme="minorHAnsi"/>
                <w:sz w:val="22"/>
                <w:szCs w:val="22"/>
                <w:lang w:val="en-GB" w:eastAsia="en-US"/>
              </w:rPr>
              <w:t xml:space="preserve"> In addition to an interview, you will need to complete a work sample test (a practical exercise designed to replicate a real-life work environment) either in person or remotely.</w:t>
            </w:r>
          </w:p>
        </w:tc>
      </w:tr>
      <w:tr w:rsidR="000403BF" w:rsidTr="00B8660B">
        <w:tc>
          <w:tcPr>
            <w:tcW w:w="691" w:type="dxa"/>
            <w:vAlign w:val="center"/>
          </w:tcPr>
          <w:p w:rsidR="000403BF" w:rsidRPr="00370BC0" w:rsidRDefault="004A0CAE" w:rsidP="00CE0DAD">
            <w:pPr>
              <w:jc w:val="center"/>
              <w:rPr>
                <w:rFonts w:eastAsia="Times New Roman"/>
                <w:b/>
                <w:color w:val="50748A"/>
                <w:sz w:val="48"/>
                <w:szCs w:val="48"/>
              </w:rPr>
            </w:pPr>
            <w:r>
              <w:rPr>
                <w:rFonts w:eastAsia="Times New Roman"/>
                <w:b/>
                <w:color w:val="50748A"/>
                <w:sz w:val="48"/>
                <w:szCs w:val="48"/>
              </w:rPr>
              <w:t>5</w:t>
            </w:r>
            <w:r w:rsidR="000403BF" w:rsidRPr="00370BC0">
              <w:rPr>
                <w:rFonts w:eastAsia="Times New Roman"/>
                <w:b/>
                <w:color w:val="50748A"/>
                <w:sz w:val="48"/>
                <w:szCs w:val="48"/>
              </w:rPr>
              <w:t>.</w:t>
            </w:r>
          </w:p>
        </w:tc>
        <w:tc>
          <w:tcPr>
            <w:tcW w:w="1087" w:type="dxa"/>
            <w:vAlign w:val="center"/>
          </w:tcPr>
          <w:p w:rsidR="000403BF" w:rsidRPr="0042327D" w:rsidRDefault="000403BF" w:rsidP="00CE0DAD">
            <w:pPr>
              <w:jc w:val="center"/>
              <w:rPr>
                <w:rFonts w:eastAsia="Times New Roman"/>
                <w:b/>
                <w:sz w:val="21"/>
                <w:szCs w:val="21"/>
              </w:rPr>
            </w:pPr>
            <w:r w:rsidRPr="0042327D">
              <w:rPr>
                <w:rFonts w:eastAsia="Times New Roman"/>
                <w:b/>
                <w:sz w:val="21"/>
                <w:szCs w:val="21"/>
              </w:rPr>
              <w:t>Referees</w:t>
            </w:r>
          </w:p>
        </w:tc>
        <w:tc>
          <w:tcPr>
            <w:tcW w:w="7238" w:type="dxa"/>
          </w:tcPr>
          <w:p w:rsidR="000403BF" w:rsidRPr="00171B05" w:rsidRDefault="000403BF" w:rsidP="00CE0DAD">
            <w:pPr>
              <w:rPr>
                <w:rFonts w:eastAsia="Times New Roman"/>
                <w:sz w:val="21"/>
                <w:szCs w:val="21"/>
              </w:rPr>
            </w:pPr>
            <w:r w:rsidRPr="00171B05">
              <w:rPr>
                <w:rFonts w:asciiTheme="minorHAnsi" w:eastAsiaTheme="minorHAnsi" w:hAnsiTheme="minorHAnsi"/>
                <w:sz w:val="22"/>
                <w:szCs w:val="22"/>
                <w:lang w:val="en-GB" w:eastAsia="en-US"/>
              </w:rPr>
              <w:t>We will contact at least one of your referees to help us determine if you are suitable for the roles.</w:t>
            </w:r>
            <w:r w:rsidRPr="00171B05">
              <w:rPr>
                <w:rFonts w:eastAsia="Times New Roman"/>
              </w:rPr>
              <w:t xml:space="preserve"> </w:t>
            </w:r>
            <w:r w:rsidRPr="00171B05">
              <w:rPr>
                <w:rFonts w:eastAsia="Times New Roman"/>
                <w:sz w:val="21"/>
                <w:szCs w:val="21"/>
              </w:rPr>
              <w:t xml:space="preserve"> </w:t>
            </w:r>
          </w:p>
        </w:tc>
      </w:tr>
      <w:tr w:rsidR="000403BF" w:rsidTr="00B8660B">
        <w:trPr>
          <w:trHeight w:val="904"/>
        </w:trPr>
        <w:tc>
          <w:tcPr>
            <w:tcW w:w="691" w:type="dxa"/>
            <w:vAlign w:val="center"/>
          </w:tcPr>
          <w:p w:rsidR="000403BF" w:rsidRPr="00370BC0" w:rsidRDefault="004A0CAE" w:rsidP="00CE0DAD">
            <w:pPr>
              <w:jc w:val="center"/>
              <w:rPr>
                <w:rFonts w:eastAsia="Times New Roman"/>
                <w:b/>
                <w:color w:val="50748A"/>
                <w:sz w:val="48"/>
                <w:szCs w:val="48"/>
              </w:rPr>
            </w:pPr>
            <w:r>
              <w:rPr>
                <w:rFonts w:eastAsia="Times New Roman"/>
                <w:b/>
                <w:color w:val="50748A"/>
                <w:sz w:val="48"/>
                <w:szCs w:val="48"/>
              </w:rPr>
              <w:lastRenderedPageBreak/>
              <w:t>6</w:t>
            </w:r>
            <w:r w:rsidR="000403BF" w:rsidRPr="00370BC0">
              <w:rPr>
                <w:rFonts w:eastAsia="Times New Roman"/>
                <w:b/>
                <w:color w:val="50748A"/>
                <w:sz w:val="48"/>
                <w:szCs w:val="48"/>
              </w:rPr>
              <w:t>.</w:t>
            </w:r>
          </w:p>
        </w:tc>
        <w:tc>
          <w:tcPr>
            <w:tcW w:w="1087" w:type="dxa"/>
            <w:vAlign w:val="center"/>
          </w:tcPr>
          <w:p w:rsidR="000403BF" w:rsidRPr="0042327D" w:rsidRDefault="000403BF" w:rsidP="00CE0DAD">
            <w:pPr>
              <w:jc w:val="center"/>
              <w:rPr>
                <w:rFonts w:eastAsia="Times New Roman"/>
                <w:b/>
                <w:sz w:val="21"/>
                <w:szCs w:val="21"/>
              </w:rPr>
            </w:pPr>
            <w:r w:rsidRPr="0042327D">
              <w:rPr>
                <w:rFonts w:eastAsia="Times New Roman"/>
                <w:b/>
                <w:sz w:val="21"/>
                <w:szCs w:val="21"/>
              </w:rPr>
              <w:t>Process complete</w:t>
            </w:r>
          </w:p>
        </w:tc>
        <w:tc>
          <w:tcPr>
            <w:tcW w:w="7238" w:type="dxa"/>
          </w:tcPr>
          <w:p w:rsidR="000403BF" w:rsidRPr="00171B05" w:rsidRDefault="000403BF" w:rsidP="00CE0DAD">
            <w:pPr>
              <w:rPr>
                <w:rFonts w:asciiTheme="minorHAnsi" w:eastAsiaTheme="minorHAnsi" w:hAnsiTheme="minorHAnsi"/>
                <w:sz w:val="22"/>
                <w:szCs w:val="22"/>
                <w:lang w:val="en-GB" w:eastAsia="en-US"/>
              </w:rPr>
            </w:pPr>
            <w:r w:rsidRPr="00171B05">
              <w:rPr>
                <w:rFonts w:asciiTheme="minorHAnsi" w:eastAsiaTheme="minorHAnsi" w:hAnsiTheme="minorHAnsi"/>
                <w:sz w:val="22"/>
                <w:szCs w:val="22"/>
                <w:lang w:val="en-GB" w:eastAsia="en-US"/>
              </w:rPr>
              <w:t xml:space="preserve">When the process is over, we will let you know the outcome via email. </w:t>
            </w:r>
          </w:p>
          <w:p w:rsidR="000403BF" w:rsidRPr="00171B05" w:rsidRDefault="000403BF" w:rsidP="00CE0DAD">
            <w:pPr>
              <w:rPr>
                <w:rFonts w:eastAsia="Times New Roman"/>
                <w:sz w:val="21"/>
                <w:szCs w:val="21"/>
                <w:highlight w:val="yellow"/>
              </w:rPr>
            </w:pPr>
            <w:r w:rsidRPr="00171B05">
              <w:rPr>
                <w:rFonts w:asciiTheme="minorHAnsi" w:eastAsiaTheme="minorHAnsi" w:hAnsiTheme="minorHAnsi"/>
                <w:sz w:val="22"/>
                <w:szCs w:val="22"/>
                <w:lang w:val="en-GB" w:eastAsia="en-US"/>
              </w:rPr>
              <w:t xml:space="preserve">A number of positions will be filled immediately. However, we will also create a merit pool and use this to fill future </w:t>
            </w:r>
            <w:r w:rsidR="0016383D">
              <w:rPr>
                <w:rFonts w:asciiTheme="minorHAnsi" w:eastAsiaTheme="minorHAnsi" w:hAnsiTheme="minorHAnsi"/>
                <w:sz w:val="22"/>
                <w:szCs w:val="22"/>
                <w:lang w:val="en-GB" w:eastAsia="en-US"/>
              </w:rPr>
              <w:t>vacancies over the next 18</w:t>
            </w:r>
            <w:r w:rsidRPr="00171B05">
              <w:rPr>
                <w:rFonts w:asciiTheme="minorHAnsi" w:eastAsiaTheme="minorHAnsi" w:hAnsiTheme="minorHAnsi"/>
                <w:sz w:val="22"/>
                <w:szCs w:val="22"/>
                <w:lang w:val="en-GB" w:eastAsia="en-US"/>
              </w:rPr>
              <w:t xml:space="preserve"> months.</w:t>
            </w:r>
            <w:r w:rsidRPr="00171B05">
              <w:rPr>
                <w:rFonts w:eastAsia="Times New Roman"/>
              </w:rPr>
              <w:t xml:space="preserve"> </w:t>
            </w:r>
          </w:p>
        </w:tc>
      </w:tr>
    </w:tbl>
    <w:p w:rsidR="000403BF" w:rsidRPr="00F071B0" w:rsidRDefault="000403BF" w:rsidP="000403BF">
      <w:pPr>
        <w:pStyle w:val="Heading2"/>
        <w:pBdr>
          <w:bottom w:val="single" w:sz="24" w:space="1" w:color="50748A"/>
        </w:pBdr>
        <w:rPr>
          <w:sz w:val="28"/>
        </w:rPr>
      </w:pPr>
      <w:r w:rsidRPr="009B5F45">
        <w:rPr>
          <w:sz w:val="28"/>
        </w:rPr>
        <w:t>Are you eligible to apply?</w:t>
      </w:r>
    </w:p>
    <w:p w:rsidR="000403BF" w:rsidRPr="009410DB" w:rsidRDefault="000403BF" w:rsidP="000403BF">
      <w:pPr>
        <w:rPr>
          <w:rFonts w:cs="Times New Roman"/>
        </w:rPr>
      </w:pPr>
      <w:r w:rsidRPr="009410DB">
        <w:rPr>
          <w:rFonts w:cs="Times New Roman"/>
        </w:rPr>
        <w:t xml:space="preserve">To be eligible for employment at the Attorney-General’s Department applicants must be Australian citizens. </w:t>
      </w:r>
    </w:p>
    <w:p w:rsidR="000403BF" w:rsidRPr="009410DB" w:rsidRDefault="000403BF" w:rsidP="000403BF">
      <w:pPr>
        <w:rPr>
          <w:rFonts w:cs="Times New Roman"/>
        </w:rPr>
      </w:pPr>
      <w:r w:rsidRPr="009410DB">
        <w:rPr>
          <w:rFonts w:cs="Times New Roman"/>
        </w:rPr>
        <w:t>Applicants offered employment will be required to successfully undergo a police record check and be able to obtain and maintain a security clearance at a specified clearance level. The successful applicant must be willing to disclose all relevant and required information.</w:t>
      </w:r>
    </w:p>
    <w:p w:rsidR="000403BF" w:rsidRPr="009410DB" w:rsidRDefault="000403BF" w:rsidP="000403BF">
      <w:pPr>
        <w:rPr>
          <w:rFonts w:cs="Times New Roman"/>
        </w:rPr>
      </w:pPr>
      <w:r w:rsidRPr="009410DB">
        <w:rPr>
          <w:rFonts w:cs="Times New Roman"/>
        </w:rPr>
        <w:t xml:space="preserve">Successful applicants engaged into the APS will be subject to a probation period. </w:t>
      </w:r>
    </w:p>
    <w:p w:rsidR="000403BF" w:rsidRPr="00F071B0" w:rsidRDefault="000403BF" w:rsidP="000403BF">
      <w:pPr>
        <w:pStyle w:val="Heading2"/>
        <w:pBdr>
          <w:bottom w:val="single" w:sz="24" w:space="1" w:color="50748A"/>
        </w:pBdr>
        <w:rPr>
          <w:color w:val="595959"/>
          <w:sz w:val="16"/>
          <w:szCs w:val="22"/>
          <w:highlight w:val="yellow"/>
        </w:rPr>
      </w:pPr>
      <w:r w:rsidRPr="009B5F45">
        <w:rPr>
          <w:sz w:val="28"/>
        </w:rPr>
        <w:t>How to apply</w:t>
      </w:r>
    </w:p>
    <w:p w:rsidR="000403BF" w:rsidRPr="009410DB" w:rsidRDefault="000403BF" w:rsidP="000403BF">
      <w:pPr>
        <w:rPr>
          <w:rFonts w:cs="Times New Roman"/>
        </w:rPr>
      </w:pPr>
      <w:r w:rsidRPr="009410DB">
        <w:rPr>
          <w:rFonts w:cs="Times New Roman"/>
        </w:rPr>
        <w:t xml:space="preserve">Applications must be completed using the </w:t>
      </w:r>
      <w:hyperlink r:id="rId13" w:history="1">
        <w:r w:rsidRPr="009B5F45">
          <w:rPr>
            <w:rFonts w:cs="Times New Roman"/>
            <w:color w:val="002060"/>
            <w:u w:val="single"/>
          </w:rPr>
          <w:t>online recruitment system</w:t>
        </w:r>
      </w:hyperlink>
      <w:r w:rsidRPr="009410DB">
        <w:rPr>
          <w:rFonts w:cs="Times New Roman"/>
        </w:rPr>
        <w:t xml:space="preserve">. If you are experiencing difficulties lodging your application, please contact our Recruitment Team by email </w:t>
      </w:r>
      <w:hyperlink r:id="rId14" w:history="1">
        <w:r w:rsidRPr="00D646AC">
          <w:rPr>
            <w:rFonts w:cs="Times New Roman"/>
            <w:color w:val="002060"/>
            <w:u w:val="single"/>
          </w:rPr>
          <w:t>HR.Assist@ag.gov.au</w:t>
        </w:r>
      </w:hyperlink>
      <w:r w:rsidRPr="00D646AC">
        <w:rPr>
          <w:rFonts w:cs="Times New Roman"/>
          <w:color w:val="595959"/>
        </w:rPr>
        <w:t xml:space="preserve"> </w:t>
      </w:r>
      <w:r w:rsidRPr="009410DB">
        <w:rPr>
          <w:rFonts w:cs="Times New Roman"/>
        </w:rPr>
        <w:t xml:space="preserve">or phone (02) 6141 6111. </w:t>
      </w:r>
    </w:p>
    <w:p w:rsidR="000403BF" w:rsidRPr="009410DB" w:rsidRDefault="000403BF" w:rsidP="00FC5039">
      <w:pPr>
        <w:rPr>
          <w:rFonts w:cs="Times New Roman"/>
          <w:b/>
        </w:rPr>
      </w:pPr>
      <w:r w:rsidRPr="009410DB">
        <w:rPr>
          <w:rFonts w:cs="Times New Roman"/>
          <w:b/>
        </w:rPr>
        <w:t xml:space="preserve">For further information about the role please contact: </w:t>
      </w:r>
    </w:p>
    <w:p w:rsidR="000403BF" w:rsidRPr="006E07D7" w:rsidRDefault="000403BF" w:rsidP="000403BF">
      <w:pPr>
        <w:pBdr>
          <w:top w:val="single" w:sz="8" w:space="1" w:color="auto"/>
          <w:left w:val="single" w:sz="8" w:space="4" w:color="auto"/>
          <w:bottom w:val="single" w:sz="8" w:space="1" w:color="auto"/>
          <w:right w:val="single" w:sz="8" w:space="4" w:color="auto"/>
          <w:between w:val="single" w:sz="8" w:space="1" w:color="auto"/>
        </w:pBdr>
        <w:rPr>
          <w:rFonts w:cs="Times New Roman"/>
          <w:b/>
        </w:rPr>
      </w:pPr>
      <w:r w:rsidRPr="006E07D7">
        <w:rPr>
          <w:rFonts w:cs="Times New Roman"/>
          <w:b/>
        </w:rPr>
        <w:t xml:space="preserve">Name: </w:t>
      </w:r>
      <w:r w:rsidR="006E07D7" w:rsidRPr="006E07D7">
        <w:rPr>
          <w:rFonts w:cs="Times New Roman"/>
          <w:b/>
        </w:rPr>
        <w:t>Luke Osterlund</w:t>
      </w:r>
    </w:p>
    <w:p w:rsidR="000403BF" w:rsidRPr="006E07D7" w:rsidRDefault="000403BF" w:rsidP="000403BF">
      <w:pPr>
        <w:pBdr>
          <w:top w:val="single" w:sz="8" w:space="1" w:color="auto"/>
          <w:left w:val="single" w:sz="8" w:space="4" w:color="auto"/>
          <w:bottom w:val="single" w:sz="8" w:space="1" w:color="auto"/>
          <w:right w:val="single" w:sz="8" w:space="4" w:color="auto"/>
          <w:between w:val="single" w:sz="8" w:space="1" w:color="auto"/>
        </w:pBdr>
        <w:rPr>
          <w:rFonts w:cs="Times New Roman"/>
          <w:b/>
        </w:rPr>
      </w:pPr>
      <w:r w:rsidRPr="006E07D7">
        <w:rPr>
          <w:rFonts w:cs="Times New Roman"/>
          <w:b/>
        </w:rPr>
        <w:t xml:space="preserve">Email: </w:t>
      </w:r>
      <w:r w:rsidR="006E07D7" w:rsidRPr="006E07D7">
        <w:rPr>
          <w:rFonts w:cs="Times New Roman"/>
          <w:b/>
        </w:rPr>
        <w:t>luke.osterlund@ag.gov.au</w:t>
      </w:r>
    </w:p>
    <w:p w:rsidR="000403BF" w:rsidRPr="006E07D7" w:rsidRDefault="000403BF" w:rsidP="000403BF">
      <w:pPr>
        <w:pBdr>
          <w:top w:val="single" w:sz="8" w:space="1" w:color="auto"/>
          <w:left w:val="single" w:sz="8" w:space="4" w:color="auto"/>
          <w:bottom w:val="single" w:sz="8" w:space="1" w:color="auto"/>
          <w:right w:val="single" w:sz="8" w:space="4" w:color="auto"/>
          <w:between w:val="single" w:sz="8" w:space="1" w:color="auto"/>
        </w:pBdr>
        <w:rPr>
          <w:rFonts w:cs="Times New Roman"/>
          <w:b/>
        </w:rPr>
      </w:pPr>
      <w:r w:rsidRPr="006E07D7">
        <w:rPr>
          <w:rFonts w:cs="Times New Roman"/>
          <w:b/>
        </w:rPr>
        <w:t xml:space="preserve">Phone: </w:t>
      </w:r>
      <w:r w:rsidR="006E07D7" w:rsidRPr="006E07D7">
        <w:rPr>
          <w:rFonts w:cs="Times New Roman"/>
          <w:b/>
        </w:rPr>
        <w:t>6141 3810</w:t>
      </w:r>
    </w:p>
    <w:p w:rsidR="000403BF" w:rsidRPr="006E07D7" w:rsidRDefault="000403BF" w:rsidP="000403BF">
      <w:pPr>
        <w:rPr>
          <w:rFonts w:cs="Times New Roman"/>
        </w:rPr>
      </w:pPr>
      <w:r w:rsidRPr="006E07D7">
        <w:rPr>
          <w:rFonts w:cs="Times New Roman"/>
          <w:b/>
        </w:rPr>
        <w:t>Application close at</w:t>
      </w:r>
      <w:r w:rsidRPr="006E07D7">
        <w:rPr>
          <w:rFonts w:cs="Times New Roman"/>
        </w:rPr>
        <w:t xml:space="preserve"> </w:t>
      </w:r>
      <w:r w:rsidR="00BE3359" w:rsidRPr="006E07D7">
        <w:rPr>
          <w:rFonts w:cs="Times New Roman"/>
          <w:b/>
        </w:rPr>
        <w:t>11:30</w:t>
      </w:r>
      <w:r w:rsidRPr="006E07D7">
        <w:rPr>
          <w:rFonts w:cs="Times New Roman"/>
          <w:b/>
        </w:rPr>
        <w:t>pm AE</w:t>
      </w:r>
      <w:r w:rsidR="00F83C9F" w:rsidRPr="006E07D7">
        <w:rPr>
          <w:rFonts w:cs="Times New Roman"/>
          <w:b/>
        </w:rPr>
        <w:t>S</w:t>
      </w:r>
      <w:r w:rsidRPr="006E07D7">
        <w:rPr>
          <w:rFonts w:cs="Times New Roman"/>
          <w:b/>
        </w:rPr>
        <w:t>T on</w:t>
      </w:r>
      <w:r w:rsidRPr="006E07D7">
        <w:rPr>
          <w:rFonts w:cs="Times New Roman"/>
        </w:rPr>
        <w:t xml:space="preserve"> </w:t>
      </w:r>
      <w:r w:rsidR="00B9539D">
        <w:rPr>
          <w:rFonts w:cs="Times New Roman"/>
          <w:b/>
        </w:rPr>
        <w:t>Thursday 18 August 2022.</w:t>
      </w:r>
    </w:p>
    <w:p w:rsidR="000403BF" w:rsidRPr="006E07D7" w:rsidRDefault="000403BF" w:rsidP="000403BF">
      <w:pPr>
        <w:pStyle w:val="ListParagraph"/>
        <w:spacing w:after="0"/>
        <w:ind w:left="0"/>
        <w:rPr>
          <w:sz w:val="22"/>
          <w:szCs w:val="22"/>
        </w:rPr>
      </w:pPr>
      <w:r w:rsidRPr="006E07D7">
        <w:rPr>
          <w:sz w:val="22"/>
          <w:szCs w:val="22"/>
        </w:rPr>
        <w:t>As part of your application you will need to provide:</w:t>
      </w:r>
    </w:p>
    <w:p w:rsidR="000403BF" w:rsidRPr="006E07D7" w:rsidRDefault="000403BF" w:rsidP="000403BF">
      <w:pPr>
        <w:pStyle w:val="ListParagraph"/>
        <w:numPr>
          <w:ilvl w:val="0"/>
          <w:numId w:val="4"/>
        </w:numPr>
        <w:spacing w:after="0"/>
        <w:rPr>
          <w:sz w:val="22"/>
          <w:szCs w:val="22"/>
        </w:rPr>
      </w:pPr>
      <w:r w:rsidRPr="006E07D7">
        <w:rPr>
          <w:sz w:val="22"/>
          <w:szCs w:val="22"/>
        </w:rPr>
        <w:t>your current résumé</w:t>
      </w:r>
    </w:p>
    <w:p w:rsidR="000403BF" w:rsidRPr="006E07D7" w:rsidRDefault="000403BF" w:rsidP="000403BF">
      <w:pPr>
        <w:pStyle w:val="ListParagraph"/>
        <w:numPr>
          <w:ilvl w:val="0"/>
          <w:numId w:val="4"/>
        </w:numPr>
        <w:spacing w:after="120"/>
        <w:ind w:left="714" w:hanging="357"/>
        <w:rPr>
          <w:color w:val="595959"/>
          <w:sz w:val="22"/>
          <w:szCs w:val="22"/>
        </w:rPr>
      </w:pPr>
      <w:r w:rsidRPr="006E07D7">
        <w:rPr>
          <w:sz w:val="22"/>
          <w:szCs w:val="22"/>
        </w:rPr>
        <w:t>a statement of claims (max. 750 words) describing how you meet the</w:t>
      </w:r>
      <w:r w:rsidRPr="006E07D7">
        <w:rPr>
          <w:color w:val="595959"/>
          <w:sz w:val="22"/>
          <w:szCs w:val="22"/>
        </w:rPr>
        <w:t xml:space="preserve"> </w:t>
      </w:r>
      <w:hyperlink r:id="rId15" w:history="1">
        <w:r w:rsidRPr="006E07D7">
          <w:rPr>
            <w:rFonts w:eastAsia="Calibri"/>
            <w:color w:val="002060"/>
            <w:sz w:val="22"/>
            <w:szCs w:val="22"/>
            <w:u w:val="single"/>
            <w:lang w:eastAsia="en-US"/>
          </w:rPr>
          <w:t>AGD Performance Expectations</w:t>
        </w:r>
      </w:hyperlink>
      <w:r w:rsidRPr="006E07D7">
        <w:rPr>
          <w:rFonts w:eastAsia="Calibri"/>
          <w:color w:val="002060"/>
          <w:sz w:val="22"/>
          <w:szCs w:val="22"/>
          <w:u w:val="single"/>
          <w:lang w:eastAsia="en-US"/>
        </w:rPr>
        <w:t>.</w:t>
      </w:r>
      <w:r w:rsidRPr="006E07D7">
        <w:rPr>
          <w:color w:val="595959"/>
          <w:sz w:val="22"/>
          <w:szCs w:val="22"/>
        </w:rPr>
        <w:t xml:space="preserve"> </w:t>
      </w:r>
    </w:p>
    <w:p w:rsidR="000403BF" w:rsidRPr="006E07D7" w:rsidRDefault="000403BF" w:rsidP="000403BF">
      <w:pPr>
        <w:pStyle w:val="ListParagraph"/>
        <w:numPr>
          <w:ilvl w:val="0"/>
          <w:numId w:val="4"/>
        </w:numPr>
        <w:spacing w:after="120"/>
        <w:ind w:left="714" w:hanging="357"/>
        <w:rPr>
          <w:sz w:val="22"/>
          <w:szCs w:val="22"/>
        </w:rPr>
      </w:pPr>
      <w:r w:rsidRPr="006E07D7">
        <w:rPr>
          <w:sz w:val="22"/>
          <w:szCs w:val="22"/>
        </w:rPr>
        <w:t>the names and contact details of two referees, one of whom should be a current supervisor.</w:t>
      </w:r>
    </w:p>
    <w:p w:rsidR="006B636B" w:rsidRPr="009410DB" w:rsidRDefault="006B636B" w:rsidP="006B636B">
      <w:pPr>
        <w:spacing w:after="120"/>
        <w:rPr>
          <w:rFonts w:cs="Times New Roman"/>
        </w:rPr>
      </w:pPr>
      <w:r w:rsidRPr="009410DB">
        <w:rPr>
          <w:rFonts w:cs="Times New Roman"/>
        </w:rPr>
        <w:t xml:space="preserve">If you have any questions regarding the recruitment process or require any reasonable adjustments, please speak to HR Assist on </w:t>
      </w:r>
      <w:hyperlink r:id="rId16" w:history="1">
        <w:r w:rsidRPr="00D646AC">
          <w:rPr>
            <w:rFonts w:cs="Times New Roman"/>
            <w:color w:val="002060"/>
            <w:u w:val="single"/>
          </w:rPr>
          <w:t>HR.Assist@ag.gov.au</w:t>
        </w:r>
      </w:hyperlink>
      <w:r w:rsidRPr="00D646AC">
        <w:rPr>
          <w:rFonts w:cs="Times New Roman"/>
          <w:color w:val="595959"/>
        </w:rPr>
        <w:t xml:space="preserve"> </w:t>
      </w:r>
      <w:r w:rsidRPr="009410DB">
        <w:rPr>
          <w:rFonts w:cs="Times New Roman"/>
        </w:rPr>
        <w:t xml:space="preserve">or phone (02) 6141 6111 (Option 2). </w:t>
      </w:r>
    </w:p>
    <w:p w:rsidR="000403BF" w:rsidRPr="00F071B0" w:rsidRDefault="000403BF" w:rsidP="000403BF">
      <w:pPr>
        <w:pStyle w:val="Heading2"/>
        <w:pBdr>
          <w:bottom w:val="single" w:sz="24" w:space="1" w:color="50748A"/>
        </w:pBdr>
        <w:rPr>
          <w:sz w:val="28"/>
        </w:rPr>
      </w:pPr>
      <w:r w:rsidRPr="009B5F45">
        <w:rPr>
          <w:sz w:val="28"/>
        </w:rPr>
        <w:t>How to prepare your statement of claims</w:t>
      </w:r>
    </w:p>
    <w:p w:rsidR="000403BF" w:rsidRPr="00196AD8" w:rsidRDefault="000403BF" w:rsidP="000403BF">
      <w:pPr>
        <w:rPr>
          <w:rFonts w:cs="Times New Roman"/>
        </w:rPr>
      </w:pPr>
      <w:r w:rsidRPr="00196AD8">
        <w:rPr>
          <w:rFonts w:cs="Times New Roman"/>
        </w:rPr>
        <w:t xml:space="preserve">Your statement should be succinct and showcase your skills, knowledge, experience and qualifications. We want to understand how your personal attributes can add value to a role within the department. </w:t>
      </w:r>
    </w:p>
    <w:p w:rsidR="000403BF" w:rsidRPr="00196AD8" w:rsidRDefault="000403BF" w:rsidP="000403BF">
      <w:pPr>
        <w:rPr>
          <w:rFonts w:cs="Times New Roman"/>
        </w:rPr>
      </w:pPr>
      <w:r w:rsidRPr="00196AD8">
        <w:rPr>
          <w:rFonts w:cs="Times New Roman"/>
        </w:rPr>
        <w:t>You should ensure examples relate to the</w:t>
      </w:r>
      <w:r w:rsidRPr="00D646AC">
        <w:rPr>
          <w:rFonts w:cs="Times New Roman"/>
          <w:color w:val="595959"/>
        </w:rPr>
        <w:t xml:space="preserve"> </w:t>
      </w:r>
      <w:hyperlink r:id="rId17" w:history="1">
        <w:r w:rsidRPr="009B5F45">
          <w:rPr>
            <w:rFonts w:cs="Times New Roman"/>
            <w:color w:val="002060"/>
            <w:u w:val="single"/>
          </w:rPr>
          <w:t>AGD Performance Expectations</w:t>
        </w:r>
      </w:hyperlink>
      <w:r w:rsidRPr="00196AD8">
        <w:rPr>
          <w:rFonts w:cs="Times New Roman"/>
        </w:rPr>
        <w:t>.</w:t>
      </w:r>
    </w:p>
    <w:p w:rsidR="000403BF" w:rsidRPr="00196AD8" w:rsidRDefault="000403BF" w:rsidP="000403BF">
      <w:pPr>
        <w:rPr>
          <w:rFonts w:cs="Times New Roman"/>
        </w:rPr>
      </w:pPr>
      <w:r w:rsidRPr="00196AD8">
        <w:rPr>
          <w:rFonts w:cs="Times New Roman"/>
        </w:rPr>
        <w:t>This is your opportunity to provide examples that tell us how you have used your skills. While it is preferred that work examples are used in your statement, you can also use examples from study or community experiences.</w:t>
      </w:r>
    </w:p>
    <w:p w:rsidR="000403BF" w:rsidRPr="00196AD8" w:rsidRDefault="000403BF" w:rsidP="000403BF">
      <w:pPr>
        <w:rPr>
          <w:rFonts w:cs="Times New Roman"/>
        </w:rPr>
      </w:pPr>
      <w:r w:rsidRPr="00196AD8">
        <w:rPr>
          <w:rFonts w:cs="Times New Roman"/>
        </w:rPr>
        <w:t>When you include an example, you should clearly explain:</w:t>
      </w:r>
    </w:p>
    <w:p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the situation or problem</w:t>
      </w:r>
    </w:p>
    <w:p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your personal role in the task</w:t>
      </w:r>
    </w:p>
    <w:p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the methods you used</w:t>
      </w:r>
    </w:p>
    <w:p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lastRenderedPageBreak/>
        <w:t>any barriers you were able to overcome</w:t>
      </w:r>
    </w:p>
    <w:p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the outcome.</w:t>
      </w:r>
    </w:p>
    <w:p w:rsidR="000403BF" w:rsidRPr="008B5E09" w:rsidRDefault="000403BF" w:rsidP="000403BF">
      <w:pPr>
        <w:rPr>
          <w:rFonts w:cs="Times New Roman"/>
        </w:rPr>
      </w:pPr>
      <w:r w:rsidRPr="008B5E09">
        <w:rPr>
          <w:rFonts w:cs="Times New Roman"/>
        </w:rPr>
        <w:t>Other tips include:</w:t>
      </w:r>
    </w:p>
    <w:p w:rsidR="000403BF" w:rsidRPr="00FB2BD9" w:rsidRDefault="00024D7D" w:rsidP="000403BF">
      <w:pPr>
        <w:pStyle w:val="ListParagraph"/>
        <w:numPr>
          <w:ilvl w:val="0"/>
          <w:numId w:val="3"/>
        </w:numPr>
        <w:shd w:val="clear" w:color="auto" w:fill="FFFFFF"/>
        <w:spacing w:before="0"/>
        <w:ind w:left="714" w:hanging="357"/>
        <w:textAlignment w:val="top"/>
        <w:rPr>
          <w:rFonts w:eastAsia="Calibri"/>
          <w:color w:val="595959"/>
          <w:sz w:val="22"/>
          <w:szCs w:val="22"/>
          <w:lang w:eastAsia="en-US"/>
        </w:rPr>
      </w:pPr>
      <w:r>
        <w:rPr>
          <w:rFonts w:eastAsia="Calibri"/>
          <w:sz w:val="22"/>
          <w:szCs w:val="22"/>
          <w:lang w:eastAsia="en-US"/>
        </w:rPr>
        <w:t>E</w:t>
      </w:r>
      <w:r w:rsidR="000403BF" w:rsidRPr="008B5E09">
        <w:rPr>
          <w:rFonts w:eastAsia="Calibri"/>
          <w:sz w:val="22"/>
          <w:szCs w:val="22"/>
          <w:lang w:eastAsia="en-US"/>
        </w:rPr>
        <w:t xml:space="preserve">nsure examples relate to the </w:t>
      </w:r>
      <w:hyperlink r:id="rId18" w:history="1">
        <w:hyperlink r:id="rId19" w:history="1">
          <w:r w:rsidR="000403BF" w:rsidRPr="00FA6A2A">
            <w:rPr>
              <w:rFonts w:eastAsia="Calibri"/>
              <w:color w:val="002060"/>
              <w:sz w:val="22"/>
              <w:szCs w:val="22"/>
              <w:u w:val="single"/>
              <w:lang w:eastAsia="en-US"/>
            </w:rPr>
            <w:t>AGD Performance Expectations</w:t>
          </w:r>
        </w:hyperlink>
      </w:hyperlink>
      <w:r>
        <w:rPr>
          <w:rFonts w:eastAsia="Calibri"/>
          <w:color w:val="002060"/>
          <w:sz w:val="22"/>
          <w:szCs w:val="22"/>
          <w:u w:val="single"/>
          <w:lang w:eastAsia="en-US"/>
        </w:rPr>
        <w:t>.</w:t>
      </w:r>
    </w:p>
    <w:p w:rsidR="000403BF" w:rsidRPr="008B5E09" w:rsidRDefault="00024D7D"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Pr>
          <w:rFonts w:eastAsia="Calibri"/>
          <w:sz w:val="22"/>
          <w:szCs w:val="22"/>
          <w:lang w:eastAsia="en-US"/>
        </w:rPr>
        <w:t>U</w:t>
      </w:r>
      <w:r w:rsidR="000403BF" w:rsidRPr="008B5E09">
        <w:rPr>
          <w:rFonts w:eastAsia="Calibri"/>
          <w:sz w:val="22"/>
          <w:szCs w:val="22"/>
          <w:lang w:eastAsia="en-US"/>
        </w:rPr>
        <w:t>se active language such as ‘I lead…’ or ‘I developed…’ rather than ‘my team…’</w:t>
      </w:r>
    </w:p>
    <w:p w:rsidR="000403BF" w:rsidRPr="008B5E09" w:rsidRDefault="00024D7D"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Pr>
          <w:rFonts w:eastAsia="Calibri"/>
          <w:sz w:val="22"/>
          <w:szCs w:val="22"/>
          <w:lang w:eastAsia="en-US"/>
        </w:rPr>
        <w:t>A</w:t>
      </w:r>
      <w:r w:rsidR="000403BF" w:rsidRPr="008B5E09">
        <w:rPr>
          <w:rFonts w:eastAsia="Calibri"/>
          <w:sz w:val="22"/>
          <w:szCs w:val="22"/>
          <w:lang w:eastAsia="en-US"/>
        </w:rPr>
        <w:t>lways back up your claims. For example, instead of writing ‘ I have excellent negotiation skills’, write ‘I demonstrated excellent negotiation skills when I …’</w:t>
      </w:r>
    </w:p>
    <w:p w:rsidR="000403BF" w:rsidRPr="008B5E09" w:rsidRDefault="00024D7D"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Pr>
          <w:rFonts w:eastAsia="Calibri"/>
          <w:sz w:val="22"/>
          <w:szCs w:val="22"/>
          <w:lang w:eastAsia="en-US"/>
        </w:rPr>
        <w:t>Y</w:t>
      </w:r>
      <w:r w:rsidR="000403BF" w:rsidRPr="008B5E09">
        <w:rPr>
          <w:rFonts w:eastAsia="Calibri"/>
          <w:sz w:val="22"/>
          <w:szCs w:val="22"/>
          <w:lang w:eastAsia="en-US"/>
        </w:rPr>
        <w:t>ou may wish to include why you want to work in the department</w:t>
      </w:r>
      <w:r>
        <w:rPr>
          <w:rFonts w:eastAsia="Calibri"/>
          <w:sz w:val="22"/>
          <w:szCs w:val="22"/>
          <w:lang w:eastAsia="en-US"/>
        </w:rPr>
        <w:t>.</w:t>
      </w:r>
    </w:p>
    <w:p w:rsidR="000403BF" w:rsidRPr="008B5E09" w:rsidRDefault="000403BF" w:rsidP="000403BF">
      <w:pPr>
        <w:spacing w:after="120"/>
        <w:rPr>
          <w:rFonts w:cs="Times New Roman"/>
        </w:rPr>
      </w:pPr>
      <w:r w:rsidRPr="008B5E09">
        <w:rPr>
          <w:rFonts w:cs="Times New Roman"/>
        </w:rPr>
        <w:t>You will need to attach a résumé to your application prior to submitting. Your résumé should not be more than three pages.</w:t>
      </w:r>
    </w:p>
    <w:p w:rsidR="000403BF" w:rsidRPr="00F071B0" w:rsidRDefault="000403BF" w:rsidP="000403BF">
      <w:pPr>
        <w:pStyle w:val="Heading2"/>
        <w:pBdr>
          <w:bottom w:val="single" w:sz="24" w:space="1" w:color="50748A"/>
        </w:pBdr>
        <w:rPr>
          <w:sz w:val="28"/>
        </w:rPr>
      </w:pPr>
      <w:r w:rsidRPr="009B5F45">
        <w:rPr>
          <w:sz w:val="28"/>
        </w:rPr>
        <w:t>RecruitAbility scheme</w:t>
      </w:r>
    </w:p>
    <w:p w:rsidR="000403BF" w:rsidRPr="006646ED" w:rsidRDefault="000403BF" w:rsidP="000403BF">
      <w:pPr>
        <w:spacing w:after="120" w:line="240" w:lineRule="auto"/>
        <w:rPr>
          <w:rFonts w:cs="Times New Roman"/>
        </w:rPr>
      </w:pPr>
      <w:r w:rsidRPr="006646ED">
        <w:rPr>
          <w:rFonts w:cs="Times New Roman"/>
        </w:rPr>
        <w:t>The</w:t>
      </w:r>
      <w:r w:rsidRPr="006646ED">
        <w:rPr>
          <w:rFonts w:cs="Times New Roman"/>
          <w:b/>
        </w:rPr>
        <w:t xml:space="preserve"> RecruitAbility</w:t>
      </w:r>
      <w:r w:rsidRPr="006646ED">
        <w:rPr>
          <w:rFonts w:cs="Times New Roman"/>
        </w:rPr>
        <w:t xml:space="preserve"> scheme applies to this vacancy. The Attorney-General’s Department is committed to supporting the employment and career development of people with disability. </w:t>
      </w:r>
    </w:p>
    <w:p w:rsidR="000403BF" w:rsidRPr="006646ED" w:rsidRDefault="000403BF" w:rsidP="000403BF">
      <w:pPr>
        <w:spacing w:after="120" w:line="240" w:lineRule="auto"/>
        <w:rPr>
          <w:rFonts w:cs="Times New Roman"/>
        </w:rPr>
      </w:pPr>
      <w:r w:rsidRPr="006646ED">
        <w:rPr>
          <w:rFonts w:cs="Times New Roman"/>
        </w:rPr>
        <w:t xml:space="preserve">Our participation in the APS RecruitAbility scheme means we will progress an applicant with disability to a further stage in the recruitment process, where they opt into the scheme and meet the minimum requirements. </w:t>
      </w:r>
    </w:p>
    <w:p w:rsidR="000403BF" w:rsidRDefault="000403BF" w:rsidP="000403BF">
      <w:pPr>
        <w:pStyle w:val="Default"/>
        <w:spacing w:before="120"/>
        <w:rPr>
          <w:rFonts w:eastAsia="SimSun"/>
          <w:sz w:val="21"/>
          <w:szCs w:val="21"/>
          <w:u w:val="single"/>
          <w:lang w:eastAsia="zh-CN"/>
        </w:rPr>
      </w:pPr>
      <w:r w:rsidRPr="006646ED">
        <w:rPr>
          <w:rFonts w:eastAsia="Calibri" w:cs="Times New Roman"/>
          <w:color w:val="auto"/>
          <w:sz w:val="22"/>
          <w:szCs w:val="22"/>
          <w:lang w:eastAsia="en-US"/>
        </w:rPr>
        <w:t>For more information on the RecruitAbility scheme please follow this link:</w:t>
      </w:r>
      <w:hyperlink r:id="rId20" w:history="1">
        <w:r w:rsidRPr="0059687A">
          <w:rPr>
            <w:rStyle w:val="Hyperlink"/>
            <w:rFonts w:eastAsia="SimSun"/>
            <w:sz w:val="21"/>
            <w:szCs w:val="21"/>
            <w:lang w:eastAsia="zh-CN"/>
          </w:rPr>
          <w:t xml:space="preserve"> </w:t>
        </w:r>
        <w:hyperlink r:id="rId21" w:history="1">
          <w:r>
            <w:rPr>
              <w:rFonts w:eastAsia="Calibri" w:cs="Times New Roman"/>
              <w:color w:val="002060"/>
              <w:sz w:val="22"/>
              <w:szCs w:val="22"/>
              <w:u w:val="single"/>
              <w:lang w:eastAsia="en-US"/>
            </w:rPr>
            <w:t>APSC Recru</w:t>
          </w:r>
          <w:r w:rsidR="00792223">
            <w:rPr>
              <w:rFonts w:eastAsia="Calibri" w:cs="Times New Roman"/>
              <w:color w:val="002060"/>
              <w:sz w:val="22"/>
              <w:szCs w:val="22"/>
              <w:u w:val="single"/>
              <w:lang w:eastAsia="en-US"/>
            </w:rPr>
            <w:t xml:space="preserve">itability </w:t>
          </w:r>
          <w:r>
            <w:rPr>
              <w:rFonts w:eastAsia="Calibri" w:cs="Times New Roman"/>
              <w:color w:val="002060"/>
              <w:sz w:val="22"/>
              <w:szCs w:val="22"/>
              <w:u w:val="single"/>
              <w:lang w:eastAsia="en-US"/>
            </w:rPr>
            <w:t>scheme guide applicants</w:t>
          </w:r>
        </w:hyperlink>
      </w:hyperlink>
      <w:r w:rsidR="006646ED">
        <w:rPr>
          <w:rFonts w:eastAsia="Calibri" w:cs="Times New Roman"/>
          <w:color w:val="002060"/>
          <w:sz w:val="22"/>
          <w:szCs w:val="22"/>
          <w:u w:val="single"/>
          <w:lang w:eastAsia="en-US"/>
        </w:rPr>
        <w:t>.</w:t>
      </w:r>
    </w:p>
    <w:p w:rsidR="000403BF" w:rsidRPr="00252957" w:rsidRDefault="000403BF" w:rsidP="000403BF">
      <w:pPr>
        <w:pStyle w:val="Default"/>
        <w:spacing w:before="120"/>
        <w:rPr>
          <w:rFonts w:eastAsia="SimSun"/>
          <w:sz w:val="21"/>
          <w:szCs w:val="21"/>
          <w:lang w:eastAsia="zh-CN"/>
        </w:rPr>
      </w:pPr>
      <w:r>
        <w:rPr>
          <w:rFonts w:eastAsia="SimSun"/>
          <w:noProof/>
          <w:sz w:val="21"/>
          <w:szCs w:val="21"/>
        </w:rPr>
        <w:drawing>
          <wp:inline distT="0" distB="0" distL="0" distR="0" wp14:anchorId="09B10B6F" wp14:editId="681048CF">
            <wp:extent cx="2343150" cy="1038225"/>
            <wp:effectExtent l="0" t="0" r="0" b="9525"/>
            <wp:docPr id="2" name="Picture 2" descr="This is an image of the recuritability logo" title="Recruitabil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p>
    <w:p w:rsidR="000403BF" w:rsidRPr="00F071B0" w:rsidRDefault="000403BF" w:rsidP="000403BF">
      <w:pPr>
        <w:pStyle w:val="Heading2"/>
        <w:pBdr>
          <w:bottom w:val="single" w:sz="24" w:space="1" w:color="50748A"/>
        </w:pBdr>
        <w:rPr>
          <w:sz w:val="28"/>
        </w:rPr>
      </w:pPr>
      <w:r w:rsidRPr="009B5F45">
        <w:rPr>
          <w:sz w:val="28"/>
        </w:rPr>
        <w:t xml:space="preserve">Offers and the merit pool </w:t>
      </w:r>
    </w:p>
    <w:p w:rsidR="000403BF" w:rsidRPr="00184C79" w:rsidRDefault="000403BF" w:rsidP="000403BF">
      <w:pPr>
        <w:rPr>
          <w:rFonts w:cs="Times New Roman"/>
        </w:rPr>
      </w:pPr>
      <w:r w:rsidRPr="00184C79">
        <w:rPr>
          <w:rFonts w:cs="Times New Roman"/>
        </w:rPr>
        <w:t>At the end of the recruitment process, a merit pool of suitable candidates will be created. Those found suitable will be advised that they have been placed in the pool. This is not an offer of employment and not all candidates selected for inclusion in the merit pool may ultimately receive an offer of employment.</w:t>
      </w:r>
    </w:p>
    <w:p w:rsidR="000403BF" w:rsidRPr="00184C79" w:rsidRDefault="0016383D" w:rsidP="000403BF">
      <w:pPr>
        <w:rPr>
          <w:rFonts w:cs="Times New Roman"/>
        </w:rPr>
      </w:pPr>
      <w:r>
        <w:rPr>
          <w:rFonts w:cs="Times New Roman"/>
        </w:rPr>
        <w:t>The merit pool is valid for 18</w:t>
      </w:r>
      <w:r w:rsidR="000403BF" w:rsidRPr="00184C79">
        <w:rPr>
          <w:rFonts w:cs="Times New Roman"/>
        </w:rPr>
        <w:t xml:space="preserve"> months from the date the process was advertised. The merit pool </w:t>
      </w:r>
      <w:r>
        <w:rPr>
          <w:rFonts w:cs="Times New Roman"/>
        </w:rPr>
        <w:t>will be used throughout the 18 months</w:t>
      </w:r>
      <w:r w:rsidR="000403BF" w:rsidRPr="00184C79">
        <w:rPr>
          <w:rFonts w:cs="Times New Roman"/>
        </w:rPr>
        <w:t xml:space="preserve"> to fill similar positions in the event positions become vacant. </w:t>
      </w:r>
    </w:p>
    <w:p w:rsidR="000403BF" w:rsidRPr="006E07D7" w:rsidRDefault="000403BF" w:rsidP="000403BF">
      <w:pPr>
        <w:rPr>
          <w:rFonts w:cs="Times New Roman"/>
        </w:rPr>
      </w:pPr>
      <w:r w:rsidRPr="006E07D7">
        <w:rPr>
          <w:rFonts w:cs="Times New Roman"/>
        </w:rPr>
        <w:t xml:space="preserve">Please let us know if at any stage you no longer wish to remain in the merit pool. </w:t>
      </w:r>
    </w:p>
    <w:p w:rsidR="000403BF" w:rsidRPr="00F071B0" w:rsidRDefault="000403BF" w:rsidP="000403BF">
      <w:pPr>
        <w:pStyle w:val="Heading2"/>
        <w:pBdr>
          <w:bottom w:val="single" w:sz="24" w:space="1" w:color="50748A"/>
        </w:pBdr>
        <w:rPr>
          <w:sz w:val="28"/>
        </w:rPr>
      </w:pPr>
      <w:r w:rsidRPr="009B5F45">
        <w:rPr>
          <w:sz w:val="28"/>
        </w:rPr>
        <w:t>How we will communicate with you</w:t>
      </w:r>
    </w:p>
    <w:p w:rsidR="000403BF" w:rsidRPr="00010338" w:rsidRDefault="000403BF" w:rsidP="000403BF">
      <w:pPr>
        <w:rPr>
          <w:rFonts w:cs="Times New Roman"/>
        </w:rPr>
      </w:pPr>
      <w:r w:rsidRPr="00010338">
        <w:rPr>
          <w:rFonts w:cs="Times New Roman"/>
        </w:rPr>
        <w:t xml:space="preserve">All advice and communication will be sent to applicants via email. Please ensure the email address you register with is correct as this will be used to provide you updates for all the vacancies you apply for. </w:t>
      </w:r>
    </w:p>
    <w:p w:rsidR="000403BF" w:rsidRPr="00010338" w:rsidRDefault="000403BF" w:rsidP="000403BF">
      <w:pPr>
        <w:rPr>
          <w:rFonts w:cs="Times New Roman"/>
        </w:rPr>
      </w:pPr>
      <w:r w:rsidRPr="00010338">
        <w:rPr>
          <w:rFonts w:cs="Times New Roman"/>
        </w:rPr>
        <w:t>We strongly recommend that you use a personal email address rather than your work email address to ensure you don’t miss updates and invitations to participate. Additionally, please regularly check your junk or spam folders for the same reason.</w:t>
      </w:r>
    </w:p>
    <w:p w:rsidR="000403BF" w:rsidRPr="00010338" w:rsidRDefault="000403BF" w:rsidP="000403BF">
      <w:pPr>
        <w:spacing w:after="0"/>
        <w:rPr>
          <w:rFonts w:cs="Times New Roman"/>
          <w:b/>
          <w:i/>
        </w:rPr>
      </w:pPr>
      <w:r w:rsidRPr="00010338">
        <w:rPr>
          <w:rFonts w:cs="Times New Roman"/>
          <w:b/>
          <w:i/>
        </w:rPr>
        <w:t>The recruitment process will not be modified to accommodate non-receipt of emails.</w:t>
      </w:r>
    </w:p>
    <w:p w:rsidR="00734F5B" w:rsidRPr="00433791" w:rsidRDefault="00734F5B" w:rsidP="00734F5B">
      <w:pPr>
        <w:spacing w:after="0"/>
        <w:rPr>
          <w:b/>
          <w:color w:val="31849B"/>
        </w:rPr>
      </w:pPr>
      <w:r w:rsidRPr="00433791">
        <w:rPr>
          <w:noProof/>
          <w:lang w:val="en-AU" w:eastAsia="en-AU"/>
        </w:rPr>
        <w:lastRenderedPageBreak/>
        <w:drawing>
          <wp:inline distT="0" distB="0" distL="0" distR="0" wp14:anchorId="445E7032" wp14:editId="76030A8C">
            <wp:extent cx="6472555" cy="1102876"/>
            <wp:effectExtent l="0" t="0" r="0" b="0"/>
            <wp:docPr id="3" name="Picture 3" descr="Logo: Australian Government crest, An Australian Government initiative, National Rela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2555" cy="1102876"/>
                    </a:xfrm>
                    <a:prstGeom prst="rect">
                      <a:avLst/>
                    </a:prstGeom>
                    <a:noFill/>
                  </pic:spPr>
                </pic:pic>
              </a:graphicData>
            </a:graphic>
          </wp:inline>
        </w:drawing>
      </w:r>
    </w:p>
    <w:p w:rsidR="00734F5B" w:rsidRPr="00433791" w:rsidRDefault="00734F5B" w:rsidP="00734F5B">
      <w:pPr>
        <w:rPr>
          <w:b/>
        </w:rPr>
      </w:pPr>
      <w:r w:rsidRPr="00433791">
        <w:t xml:space="preserve">For help with making or receiving relay calls, contact the </w:t>
      </w:r>
      <w:r w:rsidRPr="00433791">
        <w:rPr>
          <w:b/>
        </w:rPr>
        <w:t>NRS Helpdesk:</w:t>
      </w:r>
    </w:p>
    <w:p w:rsidR="00734F5B" w:rsidRPr="00433791" w:rsidRDefault="00734F5B" w:rsidP="00734F5B">
      <w:pPr>
        <w:pStyle w:val="Bulletlevel1"/>
        <w:spacing w:line="276" w:lineRule="auto"/>
      </w:pPr>
      <w:r w:rsidRPr="00433791">
        <w:t>Phone:</w:t>
      </w:r>
      <w:r w:rsidRPr="00433791">
        <w:tab/>
        <w:t>1800 555 660</w:t>
      </w:r>
    </w:p>
    <w:p w:rsidR="00734F5B" w:rsidRPr="00433791" w:rsidRDefault="00734F5B" w:rsidP="00734F5B">
      <w:pPr>
        <w:pStyle w:val="Bulletlevel1"/>
        <w:spacing w:line="276" w:lineRule="auto"/>
      </w:pPr>
      <w:r w:rsidRPr="00433791">
        <w:t xml:space="preserve">Fax: </w:t>
      </w:r>
      <w:r w:rsidRPr="00433791">
        <w:tab/>
        <w:t>1800 555 690</w:t>
      </w:r>
    </w:p>
    <w:p w:rsidR="00734F5B" w:rsidRPr="00433791" w:rsidRDefault="00734F5B" w:rsidP="00734F5B">
      <w:pPr>
        <w:pStyle w:val="Bulletlevel1"/>
        <w:spacing w:line="276" w:lineRule="auto"/>
      </w:pPr>
      <w:r w:rsidRPr="00433791">
        <w:t>SMS</w:t>
      </w:r>
      <w:r w:rsidRPr="00433791">
        <w:tab/>
        <w:t>0416 001 350</w:t>
      </w:r>
    </w:p>
    <w:p w:rsidR="00734F5B" w:rsidRPr="008B4A7D" w:rsidRDefault="00734F5B" w:rsidP="00734F5B">
      <w:pPr>
        <w:pStyle w:val="Bulletlevel1"/>
        <w:spacing w:line="276" w:lineRule="auto"/>
        <w:rPr>
          <w:u w:val="single"/>
        </w:rPr>
      </w:pPr>
      <w:r w:rsidRPr="00433791">
        <w:t>Email:</w:t>
      </w:r>
      <w:r w:rsidRPr="00433791">
        <w:tab/>
      </w:r>
      <w:hyperlink r:id="rId24" w:history="1">
        <w:r w:rsidRPr="008B4A7D">
          <w:rPr>
            <w:rStyle w:val="Hyperlink"/>
            <w:sz w:val="22"/>
            <w:szCs w:val="22"/>
            <w:u w:val="single"/>
          </w:rPr>
          <w:t>helpdesk@relayservice.com.au</w:t>
        </w:r>
      </w:hyperlink>
    </w:p>
    <w:p w:rsidR="00734F5B" w:rsidRPr="00A21746" w:rsidRDefault="00734F5B" w:rsidP="00734F5B">
      <w:pPr>
        <w:pStyle w:val="Bulletlevel1"/>
        <w:spacing w:line="276" w:lineRule="auto"/>
      </w:pPr>
      <w:r w:rsidRPr="00A21746">
        <w:t>Online:</w:t>
      </w:r>
      <w:r w:rsidRPr="00A21746">
        <w:tab/>
      </w:r>
      <w:hyperlink r:id="rId25" w:history="1">
        <w:r w:rsidRPr="008B4A7D">
          <w:rPr>
            <w:rStyle w:val="Hyperlink"/>
            <w:sz w:val="22"/>
            <w:szCs w:val="22"/>
            <w:u w:val="single"/>
          </w:rPr>
          <w:t>Online form</w:t>
        </w:r>
      </w:hyperlink>
      <w:r w:rsidRPr="00A21746">
        <w:t>.</w:t>
      </w:r>
    </w:p>
    <w:p w:rsidR="00734F5B" w:rsidRPr="00433791" w:rsidRDefault="00734F5B" w:rsidP="00734F5B">
      <w:pPr>
        <w:keepNext/>
        <w:rPr>
          <w:rFonts w:cs="Times New Roman"/>
          <w:color w:val="595959"/>
        </w:rPr>
      </w:pPr>
      <w:r w:rsidRPr="00433791">
        <w:rPr>
          <w:rFonts w:cs="Times New Roman"/>
          <w:color w:val="595959"/>
        </w:rPr>
        <w:t>T</w:t>
      </w:r>
      <w:r w:rsidRPr="008B4A7D">
        <w:rPr>
          <w:rFonts w:cs="Times New Roman"/>
        </w:rPr>
        <w:t>he NRS Helpdesk operates from 8 am to 6 pm, Eastern Standard Time.</w:t>
      </w:r>
    </w:p>
    <w:p w:rsidR="00734F5B" w:rsidRPr="00A21746" w:rsidRDefault="00734F5B" w:rsidP="000403BF">
      <w:pPr>
        <w:spacing w:after="0"/>
        <w:rPr>
          <w:b/>
          <w:color w:val="31849B"/>
        </w:rPr>
      </w:pPr>
      <w:r w:rsidRPr="008B4A7D">
        <w:rPr>
          <w:rFonts w:cs="Times New Roman"/>
        </w:rPr>
        <w:t xml:space="preserve">Find out more about relay calls and the other communication options for people who are deaf or have a hearing or speech impairment from </w:t>
      </w:r>
      <w:hyperlink r:id="rId26" w:history="1">
        <w:proofErr w:type="spellStart"/>
        <w:r w:rsidRPr="008B4A7D">
          <w:rPr>
            <w:rStyle w:val="Hyperlink"/>
            <w:sz w:val="22"/>
            <w:szCs w:val="22"/>
            <w:u w:val="single"/>
          </w:rPr>
          <w:t>Accesshub</w:t>
        </w:r>
        <w:proofErr w:type="spellEnd"/>
      </w:hyperlink>
      <w:r w:rsidRPr="008B4A7D">
        <w:rPr>
          <w:rStyle w:val="Hyperlink"/>
          <w:color w:val="auto"/>
          <w:sz w:val="22"/>
          <w:szCs w:val="22"/>
        </w:rPr>
        <w:t>.</w:t>
      </w:r>
    </w:p>
    <w:p w:rsidR="000403BF" w:rsidRPr="00F071B0" w:rsidRDefault="000403BF" w:rsidP="000403BF">
      <w:pPr>
        <w:pStyle w:val="Heading2"/>
        <w:pBdr>
          <w:bottom w:val="single" w:sz="24" w:space="1" w:color="50748A"/>
        </w:pBdr>
        <w:rPr>
          <w:sz w:val="28"/>
        </w:rPr>
      </w:pPr>
      <w:r w:rsidRPr="009B5F45">
        <w:rPr>
          <w:sz w:val="28"/>
        </w:rPr>
        <w:t>Feedback</w:t>
      </w:r>
    </w:p>
    <w:p w:rsidR="000403BF" w:rsidRPr="00185B15" w:rsidRDefault="000403BF" w:rsidP="000403BF">
      <w:pPr>
        <w:rPr>
          <w:rFonts w:cs="Times New Roman"/>
        </w:rPr>
      </w:pPr>
      <w:r w:rsidRPr="000607AE">
        <w:rPr>
          <w:rFonts w:cs="Times New Roman"/>
          <w:color w:val="FF0000"/>
        </w:rPr>
        <w:t>{Bulk Round}</w:t>
      </w:r>
      <w:r w:rsidRPr="00185B15">
        <w:rPr>
          <w:rFonts w:cs="Times New Roman"/>
        </w:rPr>
        <w:t>The department is able to provide feedback to candidates who participate in any of the assessment stages.</w:t>
      </w:r>
    </w:p>
    <w:p w:rsidR="000403BF" w:rsidRDefault="000403BF" w:rsidP="000403BF">
      <w:pPr>
        <w:rPr>
          <w:rFonts w:cs="Times New Roman"/>
          <w:color w:val="595959"/>
        </w:rPr>
      </w:pPr>
      <w:r w:rsidRPr="00185B15">
        <w:rPr>
          <w:rFonts w:cs="Times New Roman"/>
        </w:rPr>
        <w:t>To request feedback please email</w:t>
      </w:r>
      <w:r w:rsidRPr="00564DC7">
        <w:t xml:space="preserve"> </w:t>
      </w:r>
      <w:hyperlink r:id="rId27" w:history="1">
        <w:r w:rsidRPr="009B5F45">
          <w:rPr>
            <w:rFonts w:cs="Times New Roman"/>
            <w:color w:val="002060"/>
            <w:u w:val="single"/>
          </w:rPr>
          <w:t>HR.Assist@ag.gov.au</w:t>
        </w:r>
      </w:hyperlink>
      <w:r w:rsidRPr="009B5F45">
        <w:rPr>
          <w:rFonts w:cs="Times New Roman"/>
        </w:rPr>
        <w:t>.</w:t>
      </w:r>
    </w:p>
    <w:p w:rsidR="000403BF" w:rsidRPr="00185B15" w:rsidRDefault="000403BF" w:rsidP="000403BF">
      <w:pPr>
        <w:rPr>
          <w:rFonts w:cs="Times New Roman"/>
        </w:rPr>
      </w:pPr>
      <w:r w:rsidRPr="000607AE">
        <w:rPr>
          <w:rFonts w:cs="Times New Roman"/>
          <w:color w:val="FF0000"/>
        </w:rPr>
        <w:t xml:space="preserve">{Single Vacancy} </w:t>
      </w:r>
      <w:r w:rsidRPr="00185B15">
        <w:rPr>
          <w:rFonts w:cs="Times New Roman"/>
        </w:rPr>
        <w:t>At the end of the process, you can see</w:t>
      </w:r>
      <w:r w:rsidR="00B706D8" w:rsidRPr="00185B15">
        <w:rPr>
          <w:rFonts w:cs="Times New Roman"/>
        </w:rPr>
        <w:t>k</w:t>
      </w:r>
      <w:r w:rsidRPr="00185B15">
        <w:rPr>
          <w:rFonts w:cs="Times New Roman"/>
        </w:rPr>
        <w:t xml:space="preserve"> feedback from the contact officer. </w:t>
      </w:r>
    </w:p>
    <w:p w:rsidR="000403BF" w:rsidRPr="000403BF" w:rsidRDefault="000403BF" w:rsidP="000403BF">
      <w:pPr>
        <w:tabs>
          <w:tab w:val="left" w:pos="1065"/>
        </w:tabs>
        <w:rPr>
          <w:rFonts w:cs="Times New Roman"/>
          <w:color w:val="595959"/>
        </w:rPr>
      </w:pPr>
    </w:p>
    <w:sectPr w:rsidR="000403BF" w:rsidRPr="000403BF" w:rsidSect="000403BF">
      <w:footerReference w:type="default" r:id="rId28"/>
      <w:pgSz w:w="11906" w:h="16838"/>
      <w:pgMar w:top="46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09" w:rsidRDefault="00916909" w:rsidP="00FC5039">
      <w:pPr>
        <w:spacing w:after="0" w:line="240" w:lineRule="auto"/>
      </w:pPr>
      <w:r>
        <w:separator/>
      </w:r>
    </w:p>
  </w:endnote>
  <w:endnote w:type="continuationSeparator" w:id="0">
    <w:p w:rsidR="00916909" w:rsidRDefault="00916909" w:rsidP="00FC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39" w:rsidRDefault="00FC503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E3359">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E3359">
      <w:rPr>
        <w:noProof/>
        <w:color w:val="323E4F" w:themeColor="text2" w:themeShade="BF"/>
        <w:sz w:val="24"/>
        <w:szCs w:val="24"/>
      </w:rPr>
      <w:t>7</w:t>
    </w:r>
    <w:r>
      <w:rPr>
        <w:color w:val="323E4F" w:themeColor="text2" w:themeShade="BF"/>
        <w:sz w:val="24"/>
        <w:szCs w:val="24"/>
      </w:rPr>
      <w:fldChar w:fldCharType="end"/>
    </w:r>
  </w:p>
  <w:p w:rsidR="00FC5039" w:rsidRDefault="00FC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09" w:rsidRDefault="00916909" w:rsidP="00FC5039">
      <w:pPr>
        <w:spacing w:after="0" w:line="240" w:lineRule="auto"/>
      </w:pPr>
      <w:r>
        <w:separator/>
      </w:r>
    </w:p>
  </w:footnote>
  <w:footnote w:type="continuationSeparator" w:id="0">
    <w:p w:rsidR="00916909" w:rsidRDefault="00916909" w:rsidP="00FC5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E7A"/>
    <w:multiLevelType w:val="hybridMultilevel"/>
    <w:tmpl w:val="4BF8B6F4"/>
    <w:lvl w:ilvl="0" w:tplc="34088C7A">
      <w:numFmt w:val="bullet"/>
      <w:lvlText w:val="•"/>
      <w:lvlJc w:val="left"/>
      <w:pPr>
        <w:ind w:left="720" w:hanging="360"/>
      </w:pPr>
      <w:rPr>
        <w:rFonts w:ascii="Calibri" w:eastAsia="Calibri" w:hAnsi="Calibri"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3706A"/>
    <w:multiLevelType w:val="hybridMultilevel"/>
    <w:tmpl w:val="B2E0B620"/>
    <w:lvl w:ilvl="0" w:tplc="7122B8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90B41"/>
    <w:multiLevelType w:val="multilevel"/>
    <w:tmpl w:val="E164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F2D20"/>
    <w:multiLevelType w:val="hybridMultilevel"/>
    <w:tmpl w:val="1AC69F2C"/>
    <w:lvl w:ilvl="0" w:tplc="8DEAB1F2">
      <w:start w:val="1"/>
      <w:numFmt w:val="bullet"/>
      <w:pStyle w:val="Bulletlevel1"/>
      <w:lvlText w:val=""/>
      <w:lvlJc w:val="left"/>
      <w:pPr>
        <w:ind w:left="360" w:hanging="360"/>
      </w:pPr>
      <w:rPr>
        <w:rFonts w:ascii="Symbol" w:hAnsi="Symbol" w:cs="Calibri" w:hint="default"/>
        <w:bCs w:val="0"/>
        <w:iCs w:val="0"/>
        <w:caps w:val="0"/>
        <w:strike w:val="0"/>
        <w:dstrike w:val="0"/>
        <w:vanish w:val="0"/>
        <w:color w:val="0F293A"/>
        <w:sz w:val="22"/>
        <w:szCs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7A59A5"/>
    <w:multiLevelType w:val="hybridMultilevel"/>
    <w:tmpl w:val="9D6CCA32"/>
    <w:lvl w:ilvl="0" w:tplc="95E2871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C7167A"/>
    <w:multiLevelType w:val="hybridMultilevel"/>
    <w:tmpl w:val="D0BC5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A06527"/>
    <w:multiLevelType w:val="multilevel"/>
    <w:tmpl w:val="997C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39"/>
    <w:rsid w:val="00002BD4"/>
    <w:rsid w:val="00010338"/>
    <w:rsid w:val="00013821"/>
    <w:rsid w:val="00014F10"/>
    <w:rsid w:val="00024D7D"/>
    <w:rsid w:val="000403BF"/>
    <w:rsid w:val="00067187"/>
    <w:rsid w:val="00067470"/>
    <w:rsid w:val="000C2CD9"/>
    <w:rsid w:val="00123739"/>
    <w:rsid w:val="0016383D"/>
    <w:rsid w:val="00171B05"/>
    <w:rsid w:val="00184C79"/>
    <w:rsid w:val="00185B15"/>
    <w:rsid w:val="00196AD8"/>
    <w:rsid w:val="002358DE"/>
    <w:rsid w:val="00243655"/>
    <w:rsid w:val="002758D1"/>
    <w:rsid w:val="00291F64"/>
    <w:rsid w:val="00391215"/>
    <w:rsid w:val="00396036"/>
    <w:rsid w:val="003A14E3"/>
    <w:rsid w:val="003D2662"/>
    <w:rsid w:val="00404992"/>
    <w:rsid w:val="00442B9E"/>
    <w:rsid w:val="00451244"/>
    <w:rsid w:val="00470B8A"/>
    <w:rsid w:val="004A0CAE"/>
    <w:rsid w:val="004F4A46"/>
    <w:rsid w:val="005A3CED"/>
    <w:rsid w:val="005D7090"/>
    <w:rsid w:val="005E19A1"/>
    <w:rsid w:val="00627A56"/>
    <w:rsid w:val="00656FFE"/>
    <w:rsid w:val="006646ED"/>
    <w:rsid w:val="006878FA"/>
    <w:rsid w:val="006B636B"/>
    <w:rsid w:val="006C29F8"/>
    <w:rsid w:val="006E07D7"/>
    <w:rsid w:val="006F0744"/>
    <w:rsid w:val="006F54F8"/>
    <w:rsid w:val="00734F5B"/>
    <w:rsid w:val="007640BB"/>
    <w:rsid w:val="00792223"/>
    <w:rsid w:val="007B32EC"/>
    <w:rsid w:val="007B611E"/>
    <w:rsid w:val="007D0980"/>
    <w:rsid w:val="008B4A7D"/>
    <w:rsid w:val="008B5E09"/>
    <w:rsid w:val="008E7D40"/>
    <w:rsid w:val="00916909"/>
    <w:rsid w:val="009410DB"/>
    <w:rsid w:val="009C3B06"/>
    <w:rsid w:val="009D5B91"/>
    <w:rsid w:val="009D66E1"/>
    <w:rsid w:val="009F2874"/>
    <w:rsid w:val="00A12523"/>
    <w:rsid w:val="00A21746"/>
    <w:rsid w:val="00A62D0A"/>
    <w:rsid w:val="00A863A6"/>
    <w:rsid w:val="00A94F65"/>
    <w:rsid w:val="00AD7BD8"/>
    <w:rsid w:val="00B47139"/>
    <w:rsid w:val="00B706D8"/>
    <w:rsid w:val="00B736A8"/>
    <w:rsid w:val="00B75E36"/>
    <w:rsid w:val="00B8660B"/>
    <w:rsid w:val="00B9539D"/>
    <w:rsid w:val="00BE3359"/>
    <w:rsid w:val="00BE3DC5"/>
    <w:rsid w:val="00C572D6"/>
    <w:rsid w:val="00C91240"/>
    <w:rsid w:val="00D069D0"/>
    <w:rsid w:val="00D24811"/>
    <w:rsid w:val="00E22001"/>
    <w:rsid w:val="00EE571D"/>
    <w:rsid w:val="00F208B5"/>
    <w:rsid w:val="00F6423E"/>
    <w:rsid w:val="00F83C9F"/>
    <w:rsid w:val="00F84A2F"/>
    <w:rsid w:val="00FA3C36"/>
    <w:rsid w:val="00FC0630"/>
    <w:rsid w:val="00FC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C2C2A-2F2B-46D2-BF49-F76F5A58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5039"/>
    <w:pPr>
      <w:keepNext/>
      <w:spacing w:before="240" w:after="60" w:line="240" w:lineRule="auto"/>
      <w:outlineLvl w:val="1"/>
    </w:pPr>
    <w:rPr>
      <w:rFonts w:ascii="Calibri" w:eastAsia="SimSun" w:hAnsi="Calibri" w:cs="Angsana New"/>
      <w:b/>
      <w:bCs/>
      <w:iCs/>
      <w:color w:val="4D738A"/>
      <w:w w:val="105"/>
      <w:kern w:val="40"/>
      <w:sz w:val="40"/>
      <w:szCs w:val="48"/>
      <w:lang w:val="en-AU"/>
    </w:rPr>
  </w:style>
  <w:style w:type="paragraph" w:styleId="Heading4">
    <w:name w:val="heading 4"/>
    <w:basedOn w:val="Normal"/>
    <w:next w:val="Normal"/>
    <w:link w:val="Heading4Char"/>
    <w:uiPriority w:val="9"/>
    <w:semiHidden/>
    <w:unhideWhenUsed/>
    <w:qFormat/>
    <w:rsid w:val="00FC5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39"/>
  </w:style>
  <w:style w:type="paragraph" w:styleId="Footer">
    <w:name w:val="footer"/>
    <w:basedOn w:val="Normal"/>
    <w:link w:val="FooterChar"/>
    <w:uiPriority w:val="99"/>
    <w:unhideWhenUsed/>
    <w:rsid w:val="00FC5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39"/>
  </w:style>
  <w:style w:type="table" w:styleId="TableGrid">
    <w:name w:val="Table Grid"/>
    <w:basedOn w:val="TableNormal"/>
    <w:uiPriority w:val="59"/>
    <w:rsid w:val="00FC5039"/>
    <w:pPr>
      <w:spacing w:before="200"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5039"/>
    <w:rPr>
      <w:rFonts w:ascii="Calibri" w:eastAsia="SimSun" w:hAnsi="Calibri" w:cs="Angsana New"/>
      <w:b/>
      <w:bCs/>
      <w:iCs/>
      <w:color w:val="4D738A"/>
      <w:w w:val="105"/>
      <w:kern w:val="40"/>
      <w:sz w:val="40"/>
      <w:szCs w:val="48"/>
      <w:lang w:val="en-AU"/>
    </w:rPr>
  </w:style>
  <w:style w:type="character" w:customStyle="1" w:styleId="Heading4Char">
    <w:name w:val="Heading 4 Char"/>
    <w:basedOn w:val="DefaultParagraphFont"/>
    <w:link w:val="Heading4"/>
    <w:uiPriority w:val="9"/>
    <w:semiHidden/>
    <w:rsid w:val="00FC5039"/>
    <w:rPr>
      <w:rFonts w:asciiTheme="majorHAnsi" w:eastAsiaTheme="majorEastAsia" w:hAnsiTheme="majorHAnsi" w:cstheme="majorBidi"/>
      <w:i/>
      <w:iCs/>
      <w:color w:val="2E74B5" w:themeColor="accent1" w:themeShade="BF"/>
    </w:rPr>
  </w:style>
  <w:style w:type="paragraph" w:customStyle="1" w:styleId="Default">
    <w:name w:val="Default"/>
    <w:rsid w:val="00FC5039"/>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paragraph" w:styleId="ListParagraph">
    <w:name w:val="List Paragraph"/>
    <w:basedOn w:val="Normal"/>
    <w:uiPriority w:val="34"/>
    <w:qFormat/>
    <w:rsid w:val="000403BF"/>
    <w:pPr>
      <w:spacing w:before="200" w:after="200" w:line="276" w:lineRule="auto"/>
      <w:ind w:left="720"/>
      <w:contextualSpacing/>
    </w:pPr>
    <w:rPr>
      <w:rFonts w:ascii="Calibri" w:eastAsia="Times New Roman" w:hAnsi="Calibri" w:cs="Times New Roman"/>
      <w:sz w:val="20"/>
      <w:szCs w:val="20"/>
      <w:lang w:val="en-AU" w:eastAsia="en-AU"/>
    </w:rPr>
  </w:style>
  <w:style w:type="table" w:styleId="TableGridLight">
    <w:name w:val="Grid Table Light"/>
    <w:basedOn w:val="TableNormal"/>
    <w:uiPriority w:val="40"/>
    <w:rsid w:val="000403BF"/>
    <w:pPr>
      <w:spacing w:after="0" w:line="240" w:lineRule="auto"/>
    </w:pPr>
    <w:rPr>
      <w:rFonts w:ascii="Calibri" w:eastAsia="Calibri" w:hAnsi="Calibri"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rsid w:val="000403BF"/>
    <w:rPr>
      <w:color w:val="00467F"/>
      <w:sz w:val="20"/>
      <w:szCs w:val="20"/>
      <w:u w:val="none"/>
    </w:rPr>
  </w:style>
  <w:style w:type="character" w:styleId="FollowedHyperlink">
    <w:name w:val="FollowedHyperlink"/>
    <w:basedOn w:val="DefaultParagraphFont"/>
    <w:uiPriority w:val="99"/>
    <w:semiHidden/>
    <w:unhideWhenUsed/>
    <w:rsid w:val="000403BF"/>
    <w:rPr>
      <w:color w:val="954F72" w:themeColor="followedHyperlink"/>
      <w:u w:val="single"/>
    </w:rPr>
  </w:style>
  <w:style w:type="paragraph" w:customStyle="1" w:styleId="Bulletlevel1">
    <w:name w:val="Bullet level 1"/>
    <w:basedOn w:val="Normal"/>
    <w:qFormat/>
    <w:rsid w:val="00734F5B"/>
    <w:pPr>
      <w:numPr>
        <w:numId w:val="5"/>
      </w:numPr>
      <w:spacing w:after="200" w:line="240" w:lineRule="auto"/>
      <w:ind w:left="567" w:hanging="567"/>
      <w:contextualSpacing/>
    </w:pPr>
    <w:rPr>
      <w:lang w:val="en-AU"/>
    </w:rPr>
  </w:style>
  <w:style w:type="character" w:styleId="IntenseEmphasis">
    <w:name w:val="Intense Emphasis"/>
    <w:basedOn w:val="DefaultParagraphFont"/>
    <w:uiPriority w:val="21"/>
    <w:qFormat/>
    <w:rsid w:val="00FC0630"/>
    <w:rPr>
      <w:i/>
      <w:iCs/>
      <w:color w:val="000000"/>
    </w:rPr>
  </w:style>
  <w:style w:type="paragraph" w:styleId="NormalWeb">
    <w:name w:val="Normal (Web)"/>
    <w:basedOn w:val="Normal"/>
    <w:uiPriority w:val="99"/>
    <w:semiHidden/>
    <w:unhideWhenUsed/>
    <w:rsid w:val="006F54F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6023">
      <w:bodyDiv w:val="1"/>
      <w:marLeft w:val="0"/>
      <w:marRight w:val="0"/>
      <w:marTop w:val="0"/>
      <w:marBottom w:val="0"/>
      <w:divBdr>
        <w:top w:val="none" w:sz="0" w:space="0" w:color="auto"/>
        <w:left w:val="none" w:sz="0" w:space="0" w:color="auto"/>
        <w:bottom w:val="none" w:sz="0" w:space="0" w:color="auto"/>
        <w:right w:val="none" w:sz="0" w:space="0" w:color="auto"/>
      </w:divBdr>
      <w:divsChild>
        <w:div w:id="976496406">
          <w:marLeft w:val="0"/>
          <w:marRight w:val="0"/>
          <w:marTop w:val="0"/>
          <w:marBottom w:val="0"/>
          <w:divBdr>
            <w:top w:val="none" w:sz="0" w:space="0" w:color="auto"/>
            <w:left w:val="none" w:sz="0" w:space="0" w:color="auto"/>
            <w:bottom w:val="none" w:sz="0" w:space="0" w:color="auto"/>
            <w:right w:val="none" w:sz="0" w:space="0" w:color="auto"/>
          </w:divBdr>
        </w:div>
      </w:divsChild>
    </w:div>
    <w:div w:id="662396608">
      <w:bodyDiv w:val="1"/>
      <w:marLeft w:val="0"/>
      <w:marRight w:val="0"/>
      <w:marTop w:val="0"/>
      <w:marBottom w:val="0"/>
      <w:divBdr>
        <w:top w:val="none" w:sz="0" w:space="0" w:color="auto"/>
        <w:left w:val="none" w:sz="0" w:space="0" w:color="auto"/>
        <w:bottom w:val="none" w:sz="0" w:space="0" w:color="auto"/>
        <w:right w:val="none" w:sz="0" w:space="0" w:color="auto"/>
      </w:divBdr>
    </w:div>
    <w:div w:id="1585728380">
      <w:bodyDiv w:val="1"/>
      <w:marLeft w:val="0"/>
      <w:marRight w:val="0"/>
      <w:marTop w:val="0"/>
      <w:marBottom w:val="0"/>
      <w:divBdr>
        <w:top w:val="none" w:sz="0" w:space="0" w:color="auto"/>
        <w:left w:val="none" w:sz="0" w:space="0" w:color="auto"/>
        <w:bottom w:val="none" w:sz="0" w:space="0" w:color="auto"/>
        <w:right w:val="none" w:sz="0" w:space="0" w:color="auto"/>
      </w:divBdr>
    </w:div>
    <w:div w:id="1820342196">
      <w:bodyDiv w:val="1"/>
      <w:marLeft w:val="0"/>
      <w:marRight w:val="0"/>
      <w:marTop w:val="0"/>
      <w:marBottom w:val="0"/>
      <w:divBdr>
        <w:top w:val="none" w:sz="0" w:space="0" w:color="auto"/>
        <w:left w:val="none" w:sz="0" w:space="0" w:color="auto"/>
        <w:bottom w:val="none" w:sz="0" w:space="0" w:color="auto"/>
        <w:right w:val="none" w:sz="0" w:space="0" w:color="auto"/>
      </w:divBdr>
    </w:div>
    <w:div w:id="21424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gov.au/About/Careers/Pages/default.aspx" TargetMode="External"/><Relationship Id="rId18" Type="http://schemas.openxmlformats.org/officeDocument/2006/relationships/hyperlink" Target="http://www.ag.gov.au/About/Careers/Pages/default.aspx" TargetMode="External"/><Relationship Id="rId26" Type="http://schemas.openxmlformats.org/officeDocument/2006/relationships/hyperlink" Target="http://www.communications.gov.au/accesshub" TargetMode="External"/><Relationship Id="rId3" Type="http://schemas.openxmlformats.org/officeDocument/2006/relationships/styles" Target="styles.xml"/><Relationship Id="rId21" Type="http://schemas.openxmlformats.org/officeDocument/2006/relationships/hyperlink" Target="https://www.apsc.gov.au/working-aps/diversity-and-inclusion/disability/recruitability/recruitability-scheme-guide-applicants" TargetMode="External"/><Relationship Id="rId7" Type="http://schemas.openxmlformats.org/officeDocument/2006/relationships/endnotes" Target="endnotes.xml"/><Relationship Id="rId12" Type="http://schemas.openxmlformats.org/officeDocument/2006/relationships/hyperlink" Target="https://www.ag.gov.au/about-us/careers/what-we-expect" TargetMode="External"/><Relationship Id="rId17" Type="http://schemas.openxmlformats.org/officeDocument/2006/relationships/hyperlink" Target="https://www.ag.gov.au/about-us/careers/what-we-expect" TargetMode="External"/><Relationship Id="rId25" Type="http://schemas.openxmlformats.org/officeDocument/2006/relationships/hyperlink" Target="https://www.communications.gov.au/node/19659" TargetMode="External"/><Relationship Id="rId2" Type="http://schemas.openxmlformats.org/officeDocument/2006/relationships/numbering" Target="numbering.xml"/><Relationship Id="rId16" Type="http://schemas.openxmlformats.org/officeDocument/2006/relationships/hyperlink" Target="mailto:HR.Assist@ag.gov.au" TargetMode="External"/><Relationship Id="rId20" Type="http://schemas.openxmlformats.org/officeDocument/2006/relationships/hyperlink" Target="https://www.apsc.gov.au/recruitability-scheme-guide-applica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gov.au/about/pages/workplacediversity.aspx" TargetMode="External"/><Relationship Id="rId24" Type="http://schemas.openxmlformats.org/officeDocument/2006/relationships/hyperlink" Target="mailto:helpdesk@relayservice.com.au" TargetMode="External"/><Relationship Id="rId5" Type="http://schemas.openxmlformats.org/officeDocument/2006/relationships/webSettings" Target="webSettings.xml"/><Relationship Id="rId15" Type="http://schemas.openxmlformats.org/officeDocument/2006/relationships/hyperlink" Target="http://www.ag.gov.au/About/Careers/Pages/default.aspx"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hyperlink" Target="https://www.ag.gov.au/about-us/careers/what-we-expect" TargetMode="External"/><Relationship Id="rId19" Type="http://schemas.openxmlformats.org/officeDocument/2006/relationships/hyperlink" Target="http://www.ag.gov.au/About/Careers/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R.Assist@ag.gov.au" TargetMode="External"/><Relationship Id="rId22" Type="http://schemas.openxmlformats.org/officeDocument/2006/relationships/image" Target="media/image3.png"/><Relationship Id="rId27" Type="http://schemas.openxmlformats.org/officeDocument/2006/relationships/hyperlink" Target="mailto:HR.Assist@ag.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F13B-1581-4C54-B548-41463DB8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constt</dc:creator>
  <cp:keywords/>
  <dc:description/>
  <cp:lastModifiedBy>Fletcher, Joseph</cp:lastModifiedBy>
  <cp:revision>2</cp:revision>
  <dcterms:created xsi:type="dcterms:W3CDTF">2022-08-04T06:49:00Z</dcterms:created>
  <dcterms:modified xsi:type="dcterms:W3CDTF">2022-08-04T06:49:00Z</dcterms:modified>
</cp:coreProperties>
</file>