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EB88" w14:textId="77777777" w:rsidR="00FC5039" w:rsidRDefault="00FC5039">
      <w:bookmarkStart w:id="0" w:name="_GoBack"/>
      <w:bookmarkEnd w:id="0"/>
      <w:r>
        <w:rPr>
          <w:noProof/>
          <w:lang w:val="en-AU" w:eastAsia="en-AU"/>
        </w:rPr>
        <w:drawing>
          <wp:inline distT="0" distB="0" distL="0" distR="0" wp14:anchorId="31C5F70F" wp14:editId="12A3B69F">
            <wp:extent cx="5731510" cy="1203978"/>
            <wp:effectExtent l="152400" t="152400" r="364490" b="358140"/>
            <wp:docPr id="1" name="Picture 1" descr="Logo: Australian Government, Attorney-General's Department." title="Australian Government,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03978"/>
                    </a:xfrm>
                    <a:prstGeom prst="rect">
                      <a:avLst/>
                    </a:prstGeom>
                    <a:ln>
                      <a:noFill/>
                    </a:ln>
                    <a:effectLst>
                      <a:outerShdw blurRad="292100" dist="139700" dir="2700000" algn="tl" rotWithShape="0">
                        <a:srgbClr val="333333">
                          <a:alpha val="65000"/>
                        </a:srgbClr>
                      </a:outerShdw>
                    </a:effectLst>
                  </pic:spPr>
                </pic:pic>
              </a:graphicData>
            </a:graphic>
          </wp:inline>
        </w:drawing>
      </w:r>
    </w:p>
    <w:p w14:paraId="060E9E72" w14:textId="77777777" w:rsidR="00FC5039" w:rsidRPr="00A12523" w:rsidRDefault="00FC5039" w:rsidP="00FC5039">
      <w:pPr>
        <w:jc w:val="center"/>
        <w:rPr>
          <w:rFonts w:cs="Times New Roman"/>
          <w:b/>
          <w:sz w:val="28"/>
          <w:szCs w:val="28"/>
        </w:rPr>
      </w:pPr>
      <w:r w:rsidRPr="00A12523">
        <w:rPr>
          <w:rFonts w:cs="Times New Roman"/>
          <w:b/>
          <w:sz w:val="28"/>
          <w:szCs w:val="28"/>
        </w:rPr>
        <w:t>Vacancy Information Kit</w:t>
      </w:r>
    </w:p>
    <w:p w14:paraId="79E12D50" w14:textId="77777777" w:rsidR="00FC5039" w:rsidRDefault="00FC5039" w:rsidP="00FC5039">
      <w:pPr>
        <w:ind w:left="-426"/>
        <w:jc w:val="center"/>
      </w:pPr>
      <w:r>
        <w:rPr>
          <w:noProof/>
          <w:lang w:val="en-AU" w:eastAsia="en-AU"/>
        </w:rPr>
        <w:drawing>
          <wp:inline distT="0" distB="0" distL="0" distR="0" wp14:anchorId="2DA19FC5" wp14:editId="2C7B1046">
            <wp:extent cx="6505575" cy="3343275"/>
            <wp:effectExtent l="19050" t="19050" r="28575" b="28575"/>
            <wp:docPr id="16" name="Picture 16" descr="Image of the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3343275"/>
                    </a:xfrm>
                    <a:prstGeom prst="rect">
                      <a:avLst/>
                    </a:prstGeom>
                    <a:noFill/>
                    <a:ln w="9525" cmpd="sng">
                      <a:solidFill>
                        <a:srgbClr val="93CDDD"/>
                      </a:solidFill>
                      <a:miter lim="800000"/>
                      <a:headEnd/>
                      <a:tailEnd/>
                    </a:ln>
                    <a:effectLst/>
                  </pic:spPr>
                </pic:pic>
              </a:graphicData>
            </a:graphic>
          </wp:inline>
        </w:drawing>
      </w:r>
    </w:p>
    <w:tbl>
      <w:tblPr>
        <w:tblStyle w:val="TableGrid"/>
        <w:tblW w:w="0" w:type="auto"/>
        <w:tblInd w:w="-138" w:type="dxa"/>
        <w:tblLook w:val="04A0" w:firstRow="1" w:lastRow="0" w:firstColumn="1" w:lastColumn="0" w:noHBand="0" w:noVBand="1"/>
        <w:tblDescription w:val="Table of position details"/>
      </w:tblPr>
      <w:tblGrid>
        <w:gridCol w:w="3386"/>
        <w:gridCol w:w="5768"/>
      </w:tblGrid>
      <w:tr w:rsidR="00FC5039" w14:paraId="34E191AB" w14:textId="77777777" w:rsidTr="00FC5039">
        <w:trPr>
          <w:tblHeader/>
        </w:trPr>
        <w:tc>
          <w:tcPr>
            <w:tcW w:w="3386" w:type="dxa"/>
            <w:tcBorders>
              <w:right w:val="single" w:sz="8" w:space="0" w:color="50748A"/>
            </w:tcBorders>
            <w:shd w:val="clear" w:color="auto" w:fill="50748A"/>
          </w:tcPr>
          <w:p w14:paraId="4E945537" w14:textId="77777777" w:rsidR="00FC5039" w:rsidRPr="001E478F" w:rsidRDefault="00FC5039" w:rsidP="00CE0DAD">
            <w:pPr>
              <w:rPr>
                <w:b/>
                <w:color w:val="50748A"/>
                <w:sz w:val="28"/>
              </w:rPr>
            </w:pPr>
            <w:r w:rsidRPr="00A95F71">
              <w:rPr>
                <w:rFonts w:asciiTheme="minorHAnsi" w:hAnsiTheme="minorHAnsi"/>
                <w:b/>
                <w:color w:val="FFFFFF" w:themeColor="background1"/>
                <w:sz w:val="28"/>
              </w:rPr>
              <w:t>Position Details</w:t>
            </w:r>
          </w:p>
        </w:tc>
        <w:tc>
          <w:tcPr>
            <w:tcW w:w="5768" w:type="dxa"/>
            <w:tcBorders>
              <w:left w:val="single" w:sz="8" w:space="0" w:color="50748A"/>
            </w:tcBorders>
            <w:shd w:val="clear" w:color="auto" w:fill="50748A"/>
          </w:tcPr>
          <w:p w14:paraId="2B960243" w14:textId="77777777" w:rsidR="00FC5039" w:rsidRPr="00184F2F" w:rsidRDefault="00FC5039" w:rsidP="00CE0DAD">
            <w:pPr>
              <w:rPr>
                <w:color w:val="31849B"/>
                <w:sz w:val="28"/>
              </w:rPr>
            </w:pPr>
          </w:p>
        </w:tc>
      </w:tr>
      <w:tr w:rsidR="00FC5039" w14:paraId="034AF0A4" w14:textId="77777777" w:rsidTr="00FC5039">
        <w:tc>
          <w:tcPr>
            <w:tcW w:w="3386" w:type="dxa"/>
          </w:tcPr>
          <w:p w14:paraId="4C9E11FB" w14:textId="77777777"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Reference Number</w:t>
            </w:r>
          </w:p>
        </w:tc>
        <w:tc>
          <w:tcPr>
            <w:tcW w:w="5768" w:type="dxa"/>
          </w:tcPr>
          <w:p w14:paraId="6724A140" w14:textId="1B924DBC" w:rsidR="00FC5039" w:rsidRPr="00391215" w:rsidRDefault="00190560" w:rsidP="00CE0DAD">
            <w:pPr>
              <w:rPr>
                <w:rFonts w:asciiTheme="minorHAnsi" w:hAnsiTheme="minorHAnsi"/>
                <w:sz w:val="28"/>
              </w:rPr>
            </w:pPr>
            <w:r w:rsidRPr="00190560">
              <w:rPr>
                <w:rFonts w:asciiTheme="minorHAnsi" w:hAnsiTheme="minorHAnsi"/>
                <w:sz w:val="28"/>
              </w:rPr>
              <w:t>0171/22_ESG/HR-EXT</w:t>
            </w:r>
          </w:p>
        </w:tc>
      </w:tr>
      <w:tr w:rsidR="00FC5039" w14:paraId="31BD97F3" w14:textId="77777777" w:rsidTr="00FC5039">
        <w:tc>
          <w:tcPr>
            <w:tcW w:w="3386" w:type="dxa"/>
          </w:tcPr>
          <w:p w14:paraId="6CFE75A1" w14:textId="77777777"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Type</w:t>
            </w:r>
          </w:p>
        </w:tc>
        <w:tc>
          <w:tcPr>
            <w:tcW w:w="5768" w:type="dxa"/>
          </w:tcPr>
          <w:p w14:paraId="78F38837" w14:textId="77777777" w:rsidR="00FC5039" w:rsidRPr="00391215" w:rsidRDefault="00FC5039" w:rsidP="00CE0DAD">
            <w:pPr>
              <w:rPr>
                <w:rFonts w:asciiTheme="minorHAnsi" w:hAnsiTheme="minorHAnsi"/>
                <w:sz w:val="28"/>
              </w:rPr>
            </w:pPr>
            <w:r w:rsidRPr="00391215">
              <w:rPr>
                <w:rFonts w:ascii="Calibri" w:eastAsia="Calibri" w:hAnsi="Calibri"/>
                <w:sz w:val="28"/>
              </w:rPr>
              <w:t>Ongoing/Non-ongoing</w:t>
            </w:r>
          </w:p>
        </w:tc>
      </w:tr>
      <w:tr w:rsidR="00FC5039" w14:paraId="211615E3" w14:textId="77777777" w:rsidTr="00FC5039">
        <w:tc>
          <w:tcPr>
            <w:tcW w:w="3386" w:type="dxa"/>
          </w:tcPr>
          <w:p w14:paraId="517B0364" w14:textId="77777777"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Classification</w:t>
            </w:r>
          </w:p>
        </w:tc>
        <w:tc>
          <w:tcPr>
            <w:tcW w:w="5768" w:type="dxa"/>
          </w:tcPr>
          <w:p w14:paraId="773E036B" w14:textId="174313EE" w:rsidR="00FC5039" w:rsidRPr="00391215" w:rsidRDefault="00E71D9E" w:rsidP="00CE0DAD">
            <w:pPr>
              <w:rPr>
                <w:rFonts w:asciiTheme="minorHAnsi" w:hAnsiTheme="minorHAnsi"/>
                <w:sz w:val="28"/>
              </w:rPr>
            </w:pPr>
            <w:r>
              <w:rPr>
                <w:rFonts w:asciiTheme="minorHAnsi" w:hAnsiTheme="minorHAnsi"/>
                <w:sz w:val="28"/>
              </w:rPr>
              <w:t>APS</w:t>
            </w:r>
            <w:r w:rsidR="00C85A16">
              <w:rPr>
                <w:rFonts w:asciiTheme="minorHAnsi" w:hAnsiTheme="minorHAnsi"/>
                <w:sz w:val="28"/>
              </w:rPr>
              <w:t xml:space="preserve"> Level</w:t>
            </w:r>
            <w:r>
              <w:rPr>
                <w:rFonts w:asciiTheme="minorHAnsi" w:hAnsiTheme="minorHAnsi"/>
                <w:sz w:val="28"/>
              </w:rPr>
              <w:t xml:space="preserve"> 6</w:t>
            </w:r>
          </w:p>
        </w:tc>
      </w:tr>
      <w:tr w:rsidR="00FC5039" w14:paraId="460F8249" w14:textId="77777777" w:rsidTr="00FC5039">
        <w:tc>
          <w:tcPr>
            <w:tcW w:w="3386" w:type="dxa"/>
          </w:tcPr>
          <w:p w14:paraId="67525C3C" w14:textId="77777777"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Job Title</w:t>
            </w:r>
          </w:p>
        </w:tc>
        <w:tc>
          <w:tcPr>
            <w:tcW w:w="5768" w:type="dxa"/>
          </w:tcPr>
          <w:p w14:paraId="5DA96188" w14:textId="718BEEFD" w:rsidR="00FC5039" w:rsidRPr="00391215" w:rsidRDefault="00E71D9E" w:rsidP="00CE0DAD">
            <w:pPr>
              <w:rPr>
                <w:rFonts w:ascii="Calibri" w:eastAsia="Calibri" w:hAnsi="Calibri"/>
                <w:sz w:val="28"/>
              </w:rPr>
            </w:pPr>
            <w:r>
              <w:rPr>
                <w:rFonts w:ascii="Calibri" w:eastAsia="Calibri" w:hAnsi="Calibri"/>
                <w:sz w:val="28"/>
              </w:rPr>
              <w:t>Performance and Conduct Case Manager</w:t>
            </w:r>
          </w:p>
        </w:tc>
      </w:tr>
      <w:tr w:rsidR="00FC5039" w14:paraId="144AC801" w14:textId="77777777" w:rsidTr="00FC5039">
        <w:tc>
          <w:tcPr>
            <w:tcW w:w="3386" w:type="dxa"/>
          </w:tcPr>
          <w:p w14:paraId="5C06093A" w14:textId="77777777"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Location</w:t>
            </w:r>
          </w:p>
        </w:tc>
        <w:tc>
          <w:tcPr>
            <w:tcW w:w="5768" w:type="dxa"/>
          </w:tcPr>
          <w:p w14:paraId="6E9CE6AF" w14:textId="1B8636FA" w:rsidR="00FC5039" w:rsidRPr="00391215" w:rsidRDefault="00E71D9E" w:rsidP="00CE0DAD">
            <w:pPr>
              <w:rPr>
                <w:rFonts w:ascii="Calibri" w:eastAsia="Calibri" w:hAnsi="Calibri"/>
                <w:sz w:val="28"/>
              </w:rPr>
            </w:pPr>
            <w:r>
              <w:rPr>
                <w:rFonts w:ascii="Calibri" w:eastAsia="Calibri" w:hAnsi="Calibri"/>
                <w:sz w:val="28"/>
              </w:rPr>
              <w:t>Canberra</w:t>
            </w:r>
            <w:r w:rsidR="00C85A16">
              <w:rPr>
                <w:rFonts w:ascii="Calibri" w:eastAsia="Calibri" w:hAnsi="Calibri"/>
                <w:sz w:val="28"/>
              </w:rPr>
              <w:t>/</w:t>
            </w:r>
            <w:r>
              <w:rPr>
                <w:rFonts w:ascii="Calibri" w:eastAsia="Calibri" w:hAnsi="Calibri"/>
                <w:sz w:val="28"/>
              </w:rPr>
              <w:t>Melbourne</w:t>
            </w:r>
            <w:r w:rsidR="00CB52BE">
              <w:rPr>
                <w:rFonts w:ascii="Calibri" w:eastAsia="Calibri" w:hAnsi="Calibri"/>
                <w:sz w:val="28"/>
              </w:rPr>
              <w:t xml:space="preserve"> – Home based work arrangements will be considered</w:t>
            </w:r>
          </w:p>
        </w:tc>
      </w:tr>
      <w:tr w:rsidR="00FC5039" w14:paraId="0B2D5EE1" w14:textId="77777777" w:rsidTr="00FC5039">
        <w:tc>
          <w:tcPr>
            <w:tcW w:w="3386" w:type="dxa"/>
          </w:tcPr>
          <w:p w14:paraId="13E78EBB" w14:textId="77777777"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Security Clearance</w:t>
            </w:r>
          </w:p>
        </w:tc>
        <w:tc>
          <w:tcPr>
            <w:tcW w:w="5768" w:type="dxa"/>
          </w:tcPr>
          <w:p w14:paraId="355B5089" w14:textId="23BF302B" w:rsidR="00FC5039" w:rsidRPr="00391215" w:rsidRDefault="00A62D0A" w:rsidP="00A62D0A">
            <w:pPr>
              <w:autoSpaceDE w:val="0"/>
              <w:autoSpaceDN w:val="0"/>
            </w:pPr>
            <w:r w:rsidRPr="00391215">
              <w:rPr>
                <w:rFonts w:ascii="Calibri" w:eastAsia="Calibri" w:hAnsi="Calibri"/>
                <w:sz w:val="28"/>
              </w:rPr>
              <w:t xml:space="preserve">Ability to obtain and maintain a </w:t>
            </w:r>
            <w:r w:rsidR="00E71D9E" w:rsidRPr="00E71D9E">
              <w:rPr>
                <w:rFonts w:ascii="Calibri" w:eastAsia="Calibri" w:hAnsi="Calibri"/>
                <w:sz w:val="28"/>
              </w:rPr>
              <w:t xml:space="preserve">Baseline </w:t>
            </w:r>
            <w:r w:rsidRPr="00391215">
              <w:rPr>
                <w:rFonts w:ascii="Calibri" w:eastAsia="Calibri" w:hAnsi="Calibri"/>
                <w:sz w:val="28"/>
              </w:rPr>
              <w:t>security clearance</w:t>
            </w:r>
            <w:r w:rsidRPr="00391215">
              <w:rPr>
                <w:rFonts w:ascii="Segoe UI" w:hAnsi="Segoe UI" w:cs="Segoe UI"/>
              </w:rPr>
              <w:t xml:space="preserve"> </w:t>
            </w:r>
          </w:p>
        </w:tc>
      </w:tr>
      <w:tr w:rsidR="00FC5039" w14:paraId="49E000F5" w14:textId="77777777" w:rsidTr="00FC5039">
        <w:tc>
          <w:tcPr>
            <w:tcW w:w="3386" w:type="dxa"/>
          </w:tcPr>
          <w:p w14:paraId="669D9FAC" w14:textId="77777777" w:rsidR="00FC5039" w:rsidRPr="001E478F" w:rsidRDefault="00FC5039" w:rsidP="00CE0DAD">
            <w:pPr>
              <w:rPr>
                <w:rFonts w:asciiTheme="minorHAnsi" w:hAnsiTheme="minorHAnsi"/>
                <w:b/>
                <w:color w:val="50748A"/>
                <w:sz w:val="28"/>
              </w:rPr>
            </w:pPr>
            <w:r w:rsidRPr="001E478F">
              <w:rPr>
                <w:rFonts w:asciiTheme="minorHAnsi" w:hAnsiTheme="minorHAnsi"/>
                <w:b/>
                <w:color w:val="50748A"/>
                <w:sz w:val="28"/>
              </w:rPr>
              <w:t>Closing Date</w:t>
            </w:r>
          </w:p>
        </w:tc>
        <w:tc>
          <w:tcPr>
            <w:tcW w:w="5768" w:type="dxa"/>
          </w:tcPr>
          <w:p w14:paraId="480383B1" w14:textId="315DA14E" w:rsidR="00FC5039" w:rsidRPr="00391215" w:rsidRDefault="00C85A16" w:rsidP="00CE0DAD">
            <w:pPr>
              <w:rPr>
                <w:rFonts w:ascii="Calibri" w:eastAsia="Calibri" w:hAnsi="Calibri"/>
                <w:sz w:val="28"/>
              </w:rPr>
            </w:pPr>
            <w:r>
              <w:rPr>
                <w:rFonts w:ascii="Calibri" w:eastAsia="Calibri" w:hAnsi="Calibri"/>
                <w:sz w:val="28"/>
              </w:rPr>
              <w:t xml:space="preserve">11:30PM AEST - </w:t>
            </w:r>
            <w:r w:rsidR="00E71D9E" w:rsidRPr="006076F4">
              <w:rPr>
                <w:rFonts w:ascii="Calibri" w:eastAsia="Calibri" w:hAnsi="Calibri"/>
                <w:sz w:val="28"/>
              </w:rPr>
              <w:t>T</w:t>
            </w:r>
            <w:r w:rsidR="00903D6A" w:rsidRPr="006076F4">
              <w:rPr>
                <w:rFonts w:ascii="Calibri" w:eastAsia="Calibri" w:hAnsi="Calibri"/>
                <w:sz w:val="28"/>
              </w:rPr>
              <w:t>hursday 18 August 2022</w:t>
            </w:r>
          </w:p>
        </w:tc>
      </w:tr>
    </w:tbl>
    <w:p w14:paraId="319180CF" w14:textId="77777777" w:rsidR="00FC5039" w:rsidRDefault="00FC5039" w:rsidP="00FC5039"/>
    <w:p w14:paraId="36075BD1" w14:textId="77777777" w:rsidR="00FC5039" w:rsidRDefault="00FC5039">
      <w:r>
        <w:br w:type="page"/>
      </w:r>
    </w:p>
    <w:p w14:paraId="535A39DD" w14:textId="77777777" w:rsidR="00FC5039" w:rsidRDefault="00FC5039" w:rsidP="00FC5039">
      <w:pPr>
        <w:pStyle w:val="Heading2"/>
        <w:pBdr>
          <w:bottom w:val="single" w:sz="24" w:space="1" w:color="50748A"/>
        </w:pBdr>
      </w:pPr>
      <w:r w:rsidRPr="009B5F45">
        <w:rPr>
          <w:sz w:val="28"/>
        </w:rPr>
        <w:lastRenderedPageBreak/>
        <w:t xml:space="preserve">About us </w:t>
      </w:r>
    </w:p>
    <w:p w14:paraId="476AC46D" w14:textId="14E00D05" w:rsidR="00FC5039" w:rsidRPr="00391215" w:rsidRDefault="00FC5039" w:rsidP="00FC5039">
      <w:pPr>
        <w:rPr>
          <w:rFonts w:cs="Times New Roman"/>
        </w:rPr>
      </w:pPr>
      <w:r w:rsidRPr="00391215">
        <w:rPr>
          <w:rFonts w:cs="Times New Roman"/>
        </w:rPr>
        <w:t>The Attorney-General's Department delivers programs and policies to maintain and improve Australia's law and justice framework. Through the Australian Government Solicitor, we also provide legal services to the Commonwealth, including legal advice and representation.</w:t>
      </w:r>
    </w:p>
    <w:p w14:paraId="65FE6E13" w14:textId="77777777" w:rsidR="00FC5039" w:rsidRPr="00FC0630" w:rsidRDefault="00FC5039" w:rsidP="00FC5039">
      <w:pPr>
        <w:rPr>
          <w:rFonts w:cs="Times New Roman"/>
          <w:b/>
        </w:rPr>
      </w:pPr>
      <w:r w:rsidRPr="00FC0630">
        <w:rPr>
          <w:rFonts w:cs="Times New Roman"/>
          <w:b/>
        </w:rPr>
        <w:t xml:space="preserve">The department’s </w:t>
      </w:r>
      <w:r w:rsidR="00FC0630">
        <w:rPr>
          <w:rFonts w:cs="Times New Roman"/>
          <w:b/>
        </w:rPr>
        <w:t>K</w:t>
      </w:r>
      <w:r w:rsidR="00FC0630" w:rsidRPr="00FC0630">
        <w:rPr>
          <w:rFonts w:cs="Times New Roman"/>
          <w:b/>
        </w:rPr>
        <w:t xml:space="preserve">ey </w:t>
      </w:r>
      <w:r w:rsidR="00FC0630">
        <w:rPr>
          <w:rFonts w:cs="Times New Roman"/>
          <w:b/>
        </w:rPr>
        <w:t>A</w:t>
      </w:r>
      <w:r w:rsidR="00FC0630" w:rsidRPr="00FC0630">
        <w:rPr>
          <w:rFonts w:cs="Times New Roman"/>
          <w:b/>
        </w:rPr>
        <w:t>ctivities:</w:t>
      </w:r>
    </w:p>
    <w:p w14:paraId="6CD1BEFE" w14:textId="77777777" w:rsidR="00FC0630" w:rsidRPr="00FC0630" w:rsidRDefault="00FC0630" w:rsidP="00FC0630">
      <w:pPr>
        <w:rPr>
          <w:rFonts w:cs="Times New Roman"/>
          <w:i/>
          <w:iCs/>
        </w:rPr>
      </w:pPr>
      <w:r w:rsidRPr="00FC0630">
        <w:rPr>
          <w:rFonts w:cs="Times New Roman"/>
          <w:i/>
          <w:iCs/>
        </w:rPr>
        <w:t>1: Provide legal services and policy advice and oversee legal services across government</w:t>
      </w:r>
    </w:p>
    <w:p w14:paraId="45990C49" w14:textId="77777777" w:rsidR="00FC0630" w:rsidRPr="00FC0630" w:rsidRDefault="00FC0630" w:rsidP="00FC0630">
      <w:pPr>
        <w:rPr>
          <w:rFonts w:cs="Times New Roman"/>
        </w:rPr>
      </w:pPr>
      <w:r w:rsidRPr="00FC0630">
        <w:rPr>
          <w:rFonts w:cs="Times New Roman"/>
        </w:rPr>
        <w:t>We deliver high-quality legal services, provide high-quality policy advice and oversee the effective and efficient provision of legal services to the Australian Government and its entities. We do this to ensure that decisions are based in law, to strengthen policy outcomes and to manage legal risk. We represent the Australian Government in constitutional and other disputes and assist it in resolving and managing significant and sensitive matters. We manage international dispute resolution on behalf of the Australian Government.</w:t>
      </w:r>
    </w:p>
    <w:p w14:paraId="1B7929A8" w14:textId="77777777" w:rsidR="00FC0630" w:rsidRPr="00FC0630" w:rsidRDefault="00FC0630" w:rsidP="00FC0630">
      <w:pPr>
        <w:rPr>
          <w:rFonts w:cs="Times New Roman"/>
          <w:i/>
          <w:iCs/>
        </w:rPr>
      </w:pPr>
      <w:r w:rsidRPr="00FC0630">
        <w:rPr>
          <w:rFonts w:cs="Times New Roman"/>
          <w:i/>
          <w:iCs/>
        </w:rPr>
        <w:t>2: Manage casework</w:t>
      </w:r>
    </w:p>
    <w:p w14:paraId="123FE368" w14:textId="77777777" w:rsidR="00FC0630" w:rsidRPr="00FC0630" w:rsidRDefault="00FC0630" w:rsidP="00FC0630">
      <w:pPr>
        <w:rPr>
          <w:rFonts w:cs="Times New Roman"/>
        </w:rPr>
      </w:pPr>
      <w:r w:rsidRPr="00FC0630">
        <w:rPr>
          <w:rFonts w:cs="Times New Roman"/>
        </w:rPr>
        <w:t>We undertake casework relating to international crime cooperation, federal offenders, international family law, private international law and complaints under the United Nations human rights conventions in order to support Australia’s law and justice frameworks.</w:t>
      </w:r>
    </w:p>
    <w:p w14:paraId="3803CA4C" w14:textId="77777777" w:rsidR="00FC0630" w:rsidRPr="00FC0630" w:rsidRDefault="00FC0630" w:rsidP="00FC0630">
      <w:pPr>
        <w:rPr>
          <w:rFonts w:cs="Times New Roman"/>
          <w:i/>
          <w:iCs/>
        </w:rPr>
      </w:pPr>
      <w:r w:rsidRPr="00FC0630">
        <w:rPr>
          <w:rFonts w:cs="Times New Roman"/>
          <w:i/>
          <w:iCs/>
        </w:rPr>
        <w:t>3: Administer and advise on legal and policy frameworks</w:t>
      </w:r>
    </w:p>
    <w:p w14:paraId="0474A453" w14:textId="77777777" w:rsidR="00FC0630" w:rsidRPr="00FC0630" w:rsidRDefault="00FC0630" w:rsidP="00FC0630">
      <w:pPr>
        <w:rPr>
          <w:rFonts w:cs="Times New Roman"/>
        </w:rPr>
      </w:pPr>
      <w:r w:rsidRPr="00FC0630">
        <w:rPr>
          <w:rFonts w:cs="Times New Roman"/>
        </w:rPr>
        <w:t>We design, implement, maintain, evaluate and reform legal and policy frameworks to improve outcomes for people in Australia in relation to rights, justice, security, integrity and workplaces. We ensure access to fair and affordable institutions and mechanisms that promote accountability and the rule of law.</w:t>
      </w:r>
    </w:p>
    <w:p w14:paraId="2F2F8E07" w14:textId="14CCEE56" w:rsidR="00FC0630" w:rsidRPr="00FC0630" w:rsidRDefault="004B385D" w:rsidP="00FC0630">
      <w:pPr>
        <w:rPr>
          <w:rFonts w:cs="Times New Roman"/>
        </w:rPr>
      </w:pPr>
      <w:r>
        <w:rPr>
          <w:rFonts w:cs="Times New Roman"/>
          <w:i/>
          <w:iCs/>
        </w:rPr>
        <w:t>4</w:t>
      </w:r>
      <w:r w:rsidR="00FC0630" w:rsidRPr="00FC0630">
        <w:rPr>
          <w:rFonts w:cs="Times New Roman"/>
          <w:i/>
          <w:iCs/>
        </w:rPr>
        <w:t>: Establish and support royal commissions and other bodies</w:t>
      </w:r>
    </w:p>
    <w:p w14:paraId="4E686F92" w14:textId="77777777" w:rsidR="00FC0630" w:rsidRPr="00FC0630" w:rsidRDefault="00FC0630" w:rsidP="00FC0630">
      <w:pPr>
        <w:rPr>
          <w:rFonts w:cs="Times New Roman"/>
        </w:rPr>
      </w:pPr>
      <w:r w:rsidRPr="00FC0630">
        <w:rPr>
          <w:rFonts w:cs="Times New Roman"/>
        </w:rPr>
        <w:t>We establish and provide support to royal commissions and other bodies to assist them to commence their enquiries in a timely manner consistent with their terms of reference to uphold the rule of law and provide strong oversight, transparency and accountability in matters of public importance. We work with royal commissions and other bodies to provide the information and evidence they need from the government to conduct their inquiries.</w:t>
      </w:r>
    </w:p>
    <w:p w14:paraId="178D0364" w14:textId="77777777" w:rsidR="00FC0630" w:rsidRPr="00FC0630" w:rsidRDefault="00FC0630" w:rsidP="00FC5039">
      <w:r>
        <w:t xml:space="preserve">Through these key activities, we contribute to Australia being a prosperous, fair and cohesive nation. </w:t>
      </w:r>
    </w:p>
    <w:p w14:paraId="17C7D485" w14:textId="77777777" w:rsidR="00FC5039" w:rsidRPr="00391215" w:rsidRDefault="00FC5039" w:rsidP="00FC5039">
      <w:pPr>
        <w:rPr>
          <w:rFonts w:cs="Times New Roman"/>
        </w:rPr>
      </w:pPr>
      <w:r w:rsidRPr="00391215">
        <w:rPr>
          <w:rFonts w:cs="Times New Roman"/>
        </w:rPr>
        <w:t>The department operates in a diverse and complex environment to address challenging issues. We have a highly-skilled and engaged workforce involved in policy development and implementation and program administration. The department also has a large number of practicing lawyers, mainly within the Australian Government Solicito</w:t>
      </w:r>
      <w:r w:rsidR="00AD7BD8">
        <w:rPr>
          <w:rFonts w:cs="Times New Roman"/>
        </w:rPr>
        <w:t>r G</w:t>
      </w:r>
      <w:r w:rsidRPr="00391215">
        <w:rPr>
          <w:rFonts w:cs="Times New Roman"/>
        </w:rPr>
        <w:t>roup within the department.</w:t>
      </w:r>
    </w:p>
    <w:p w14:paraId="6830A6D7" w14:textId="77777777" w:rsidR="00FC5039" w:rsidRPr="00391215" w:rsidRDefault="00FC5039" w:rsidP="00FC5039">
      <w:pPr>
        <w:rPr>
          <w:rFonts w:cs="Times New Roman"/>
        </w:rPr>
      </w:pPr>
      <w:r w:rsidRPr="00391215">
        <w:rPr>
          <w:rFonts w:cs="Times New Roman"/>
        </w:rPr>
        <w:t xml:space="preserve">Our future success is dependent on a workforce that is agile, diverse, outward looking, engages more effectively with risk, and responds flexibly to our changing environment. </w:t>
      </w:r>
    </w:p>
    <w:p w14:paraId="2D7D6C9C" w14:textId="02FB9715" w:rsidR="00FC5039" w:rsidRDefault="00FC5039" w:rsidP="00FC5039">
      <w:pPr>
        <w:rPr>
          <w:rFonts w:cs="Times New Roman"/>
        </w:rPr>
      </w:pPr>
      <w:r w:rsidRPr="00391215">
        <w:rPr>
          <w:rFonts w:cs="Times New Roman"/>
        </w:rPr>
        <w:t>Central to the department meeting its strategic priorities</w:t>
      </w:r>
      <w:r w:rsidR="00B736A8" w:rsidRPr="00391215">
        <w:rPr>
          <w:rFonts w:cs="Times New Roman"/>
        </w:rPr>
        <w:t xml:space="preserve"> and</w:t>
      </w:r>
      <w:r w:rsidRPr="00391215">
        <w:rPr>
          <w:rFonts w:cs="Times New Roman"/>
        </w:rPr>
        <w:t xml:space="preserve"> objectives is a capable, engaged and flexible workforce which can perform and excel in a complex and changing environment. By investing in the development of our people, we aim to improve our productivity and enhance our ability to deliver high quality advice and outcomes.</w:t>
      </w:r>
    </w:p>
    <w:p w14:paraId="08DFBDA0" w14:textId="0A7A5110" w:rsidR="00CD151F" w:rsidRDefault="00CD151F" w:rsidP="00FC5039">
      <w:pPr>
        <w:rPr>
          <w:rFonts w:cs="Times New Roman"/>
        </w:rPr>
      </w:pPr>
    </w:p>
    <w:p w14:paraId="1184842F" w14:textId="23CFBE32" w:rsidR="00CD151F" w:rsidRDefault="00CD151F" w:rsidP="00FC5039">
      <w:pPr>
        <w:rPr>
          <w:rFonts w:cs="Times New Roman"/>
        </w:rPr>
      </w:pPr>
    </w:p>
    <w:p w14:paraId="73C03CCF" w14:textId="77777777" w:rsidR="00CD151F" w:rsidRPr="00391215" w:rsidRDefault="00CD151F" w:rsidP="00FC5039">
      <w:pPr>
        <w:rPr>
          <w:rFonts w:cs="Times New Roman"/>
        </w:rPr>
      </w:pPr>
    </w:p>
    <w:p w14:paraId="3FBC62BB" w14:textId="77777777" w:rsidR="00FC5039" w:rsidRPr="00391215" w:rsidRDefault="00FC5039" w:rsidP="000403BF">
      <w:pPr>
        <w:pBdr>
          <w:between w:val="single" w:sz="8" w:space="1" w:color="auto"/>
        </w:pBdr>
        <w:rPr>
          <w:rFonts w:cs="Times New Roman"/>
          <w:b/>
        </w:rPr>
      </w:pPr>
      <w:r w:rsidRPr="00391215">
        <w:rPr>
          <w:rFonts w:cs="Times New Roman"/>
          <w:b/>
        </w:rPr>
        <w:lastRenderedPageBreak/>
        <w:t xml:space="preserve">This recruitment process will be used to fill: </w:t>
      </w:r>
    </w:p>
    <w:p w14:paraId="39247368" w14:textId="5943D2B2" w:rsidR="00FC5039" w:rsidRPr="00541B52" w:rsidRDefault="00C85A16" w:rsidP="000403BF">
      <w:pPr>
        <w:pBdr>
          <w:top w:val="single" w:sz="8" w:space="1" w:color="auto"/>
          <w:left w:val="single" w:sz="8" w:space="4" w:color="auto"/>
          <w:bottom w:val="single" w:sz="8" w:space="1" w:color="auto"/>
          <w:right w:val="single" w:sz="8" w:space="4" w:color="auto"/>
          <w:between w:val="single" w:sz="8" w:space="1" w:color="auto"/>
        </w:pBdr>
        <w:rPr>
          <w:rFonts w:cs="Times New Roman"/>
        </w:rPr>
      </w:pPr>
      <w:r>
        <w:rPr>
          <w:rFonts w:cs="Times New Roman"/>
          <w:b/>
        </w:rPr>
        <w:t xml:space="preserve">Job Title: </w:t>
      </w:r>
      <w:r w:rsidR="00541B52" w:rsidRPr="00541B52">
        <w:rPr>
          <w:rFonts w:cs="Times New Roman"/>
          <w:b/>
        </w:rPr>
        <w:t>Case Manager</w:t>
      </w:r>
    </w:p>
    <w:p w14:paraId="466C1D98" w14:textId="06497FD1" w:rsidR="00FC5039" w:rsidRPr="00541B52" w:rsidRDefault="00C85A16" w:rsidP="000403BF">
      <w:pPr>
        <w:pBdr>
          <w:top w:val="single" w:sz="8" w:space="1" w:color="auto"/>
          <w:left w:val="single" w:sz="8" w:space="4" w:color="auto"/>
          <w:bottom w:val="single" w:sz="8" w:space="1" w:color="auto"/>
          <w:right w:val="single" w:sz="8" w:space="4" w:color="auto"/>
          <w:between w:val="single" w:sz="8" w:space="1" w:color="auto"/>
        </w:pBdr>
        <w:rPr>
          <w:rFonts w:cs="Times New Roman"/>
        </w:rPr>
      </w:pPr>
      <w:r>
        <w:rPr>
          <w:rFonts w:cs="Times New Roman"/>
          <w:b/>
        </w:rPr>
        <w:t xml:space="preserve">Classification: </w:t>
      </w:r>
      <w:r w:rsidR="00541B52" w:rsidRPr="00541B52">
        <w:rPr>
          <w:rFonts w:cs="Times New Roman"/>
          <w:b/>
        </w:rPr>
        <w:t xml:space="preserve">APS </w:t>
      </w:r>
      <w:r>
        <w:rPr>
          <w:rFonts w:cs="Times New Roman"/>
          <w:b/>
        </w:rPr>
        <w:t xml:space="preserve">Level </w:t>
      </w:r>
      <w:r w:rsidR="00541B52" w:rsidRPr="00541B52">
        <w:rPr>
          <w:rFonts w:cs="Times New Roman"/>
          <w:b/>
        </w:rPr>
        <w:t>6</w:t>
      </w:r>
    </w:p>
    <w:p w14:paraId="3CB82EA1" w14:textId="652E0B15" w:rsidR="000403BF" w:rsidRPr="00291F64" w:rsidRDefault="00C85A16" w:rsidP="000403BF">
      <w:pPr>
        <w:pBdr>
          <w:top w:val="single" w:sz="8" w:space="1" w:color="auto"/>
          <w:left w:val="single" w:sz="8" w:space="4" w:color="auto"/>
          <w:bottom w:val="single" w:sz="8" w:space="1" w:color="auto"/>
          <w:right w:val="single" w:sz="8" w:space="4" w:color="auto"/>
          <w:between w:val="single" w:sz="8" w:space="1" w:color="auto"/>
        </w:pBdr>
        <w:rPr>
          <w:rFonts w:cs="Times New Roman"/>
        </w:rPr>
      </w:pPr>
      <w:r>
        <w:rPr>
          <w:rFonts w:cs="Times New Roman"/>
          <w:b/>
        </w:rPr>
        <w:t xml:space="preserve">Location: </w:t>
      </w:r>
      <w:r w:rsidR="00E71D9E" w:rsidRPr="00E71D9E">
        <w:rPr>
          <w:rFonts w:cs="Times New Roman"/>
          <w:b/>
        </w:rPr>
        <w:t>Canberra</w:t>
      </w:r>
      <w:r>
        <w:rPr>
          <w:rFonts w:cs="Times New Roman"/>
          <w:b/>
        </w:rPr>
        <w:t>/</w:t>
      </w:r>
      <w:r w:rsidR="00E71D9E" w:rsidRPr="00E71D9E">
        <w:rPr>
          <w:rFonts w:cs="Times New Roman"/>
          <w:b/>
        </w:rPr>
        <w:t>Melbourne</w:t>
      </w:r>
      <w:r>
        <w:rPr>
          <w:rFonts w:cs="Times New Roman"/>
          <w:b/>
        </w:rPr>
        <w:t xml:space="preserve"> (</w:t>
      </w:r>
      <w:r w:rsidRPr="00C85A16">
        <w:rPr>
          <w:rFonts w:cs="Times New Roman"/>
          <w:b/>
        </w:rPr>
        <w:t>Home based work arrangements will be considered)</w:t>
      </w:r>
    </w:p>
    <w:p w14:paraId="00E1AB3D" w14:textId="77777777" w:rsidR="000403BF" w:rsidRPr="00291F64" w:rsidRDefault="000403BF" w:rsidP="00FC5039">
      <w:pPr>
        <w:rPr>
          <w:rFonts w:cs="Times New Roman"/>
          <w:b/>
        </w:rPr>
      </w:pPr>
      <w:r w:rsidRPr="00291F64">
        <w:rPr>
          <w:rFonts w:cs="Times New Roman"/>
          <w:b/>
        </w:rPr>
        <w:t xml:space="preserve">This recruitment process will also create a merit pool for future similar vacancies in the: </w:t>
      </w:r>
    </w:p>
    <w:p w14:paraId="6C72E0FB" w14:textId="578ED660" w:rsidR="000403BF" w:rsidRPr="00291F64" w:rsidRDefault="00541B52" w:rsidP="000403BF">
      <w:pPr>
        <w:pBdr>
          <w:top w:val="single" w:sz="8" w:space="1" w:color="auto"/>
          <w:left w:val="single" w:sz="8" w:space="4" w:color="auto"/>
          <w:bottom w:val="single" w:sz="8" w:space="1" w:color="auto"/>
          <w:right w:val="single" w:sz="8" w:space="4" w:color="auto"/>
        </w:pBdr>
        <w:rPr>
          <w:rFonts w:cs="Times New Roman"/>
        </w:rPr>
      </w:pPr>
      <w:r w:rsidRPr="00541B52">
        <w:rPr>
          <w:rFonts w:cs="Times New Roman"/>
          <w:b/>
        </w:rPr>
        <w:t>Human Resources</w:t>
      </w:r>
      <w:r w:rsidR="00C85A16">
        <w:rPr>
          <w:rFonts w:cs="Times New Roman"/>
          <w:b/>
        </w:rPr>
        <w:t xml:space="preserve"> Branch</w:t>
      </w:r>
    </w:p>
    <w:p w14:paraId="0E2DE244" w14:textId="77777777" w:rsidR="00FC5039" w:rsidRPr="00291F64" w:rsidRDefault="00FC5039" w:rsidP="00FC5039">
      <w:pPr>
        <w:rPr>
          <w:rFonts w:cs="Times New Roman"/>
        </w:rPr>
      </w:pPr>
      <w:r w:rsidRPr="00291F64">
        <w:rPr>
          <w:rFonts w:cs="Times New Roman"/>
        </w:rPr>
        <w:t>Ongoing positions may be offered as a result of this process. Non-ongoing position(s) may be offered for a specified term of up to 18 months.</w:t>
      </w:r>
    </w:p>
    <w:p w14:paraId="114E0B12" w14:textId="195AD0B5" w:rsidR="00FC5039" w:rsidRDefault="00FC5039" w:rsidP="00FC5039">
      <w:pPr>
        <w:rPr>
          <w:rFonts w:cs="Times New Roman"/>
        </w:rPr>
      </w:pPr>
      <w:r w:rsidRPr="00291F64">
        <w:rPr>
          <w:rFonts w:cs="Times New Roman"/>
        </w:rPr>
        <w:t>The department is committed to having a flexible and inclusive workplace and recognises and values the diversity of the wider Australia community. We encourage and welcome applications from people with disability, Aboriginal and Torres Strait Islander peoples, LGBTIQ+ people, people from culturally and linguistically diverse backgrounds and mature age people.</w:t>
      </w:r>
    </w:p>
    <w:p w14:paraId="4C05718B" w14:textId="23F02460" w:rsidR="00CB52BE" w:rsidRPr="00291F64" w:rsidRDefault="00CB52BE" w:rsidP="00FC5039">
      <w:pPr>
        <w:rPr>
          <w:rFonts w:cs="Times New Roman"/>
        </w:rPr>
      </w:pPr>
      <w:r>
        <w:rPr>
          <w:rFonts w:cs="Times New Roman"/>
        </w:rPr>
        <w:t>While the role is based out of Canberra or Melbourne, the department will consider a home based work arrangement.</w:t>
      </w:r>
    </w:p>
    <w:p w14:paraId="7A0B6623" w14:textId="78042E77" w:rsidR="000403BF" w:rsidRPr="00F071B0" w:rsidRDefault="000403BF" w:rsidP="000403BF">
      <w:pPr>
        <w:pStyle w:val="Heading2"/>
        <w:pBdr>
          <w:bottom w:val="single" w:sz="24" w:space="1" w:color="50748A"/>
        </w:pBdr>
        <w:rPr>
          <w:sz w:val="28"/>
        </w:rPr>
      </w:pPr>
      <w:r w:rsidRPr="009B5F45">
        <w:rPr>
          <w:sz w:val="28"/>
        </w:rPr>
        <w:t>Our Opportunit</w:t>
      </w:r>
      <w:r w:rsidR="00C85A16">
        <w:rPr>
          <w:sz w:val="28"/>
        </w:rPr>
        <w:t>y</w:t>
      </w:r>
    </w:p>
    <w:p w14:paraId="225A3A30" w14:textId="77777777" w:rsidR="000403BF" w:rsidRDefault="00541B52" w:rsidP="000403BF">
      <w:pPr>
        <w:rPr>
          <w:rFonts w:cs="Times New Roman"/>
          <w:b/>
          <w:sz w:val="24"/>
        </w:rPr>
      </w:pPr>
      <w:r w:rsidRPr="00541B52">
        <w:rPr>
          <w:rFonts w:cs="Times New Roman"/>
          <w:b/>
          <w:sz w:val="24"/>
        </w:rPr>
        <w:t>Performance and Conduct Case Manager</w:t>
      </w:r>
    </w:p>
    <w:p w14:paraId="4318E797" w14:textId="6DA8B395" w:rsidR="00CC786B" w:rsidRPr="00C85A16" w:rsidRDefault="00541B52" w:rsidP="00FC5039">
      <w:pPr>
        <w:rPr>
          <w:rFonts w:cs="Times New Roman"/>
        </w:rPr>
      </w:pPr>
      <w:r w:rsidRPr="00541B52">
        <w:rPr>
          <w:rFonts w:cs="Times New Roman"/>
        </w:rPr>
        <w:t xml:space="preserve">The APS </w:t>
      </w:r>
      <w:r w:rsidR="00C85A16">
        <w:rPr>
          <w:rFonts w:cs="Times New Roman"/>
        </w:rPr>
        <w:t xml:space="preserve">Level </w:t>
      </w:r>
      <w:r w:rsidRPr="00541B52">
        <w:rPr>
          <w:rFonts w:cs="Times New Roman"/>
        </w:rPr>
        <w:t xml:space="preserve">6 Case Manager is responsible for providing complex and sensitive case management services, in accordance with legislation, in performance management, APS Code of Conduct and reviews of employment-related action. The role ensures the department meets its obligations under the </w:t>
      </w:r>
      <w:r w:rsidRPr="00541B52">
        <w:rPr>
          <w:rFonts w:cs="Times New Roman"/>
          <w:i/>
        </w:rPr>
        <w:t>Public Service Act 1999</w:t>
      </w:r>
      <w:r w:rsidRPr="00541B52">
        <w:rPr>
          <w:rFonts w:cs="Times New Roman"/>
        </w:rPr>
        <w:t xml:space="preserve"> (PS Act) and is compliant with the APSC’s Handling Misconduct Guide.</w:t>
      </w:r>
    </w:p>
    <w:p w14:paraId="2D796B64" w14:textId="77777777" w:rsidR="000403BF" w:rsidRPr="00F071B0" w:rsidRDefault="000403BF" w:rsidP="000403BF">
      <w:pPr>
        <w:pStyle w:val="Heading2"/>
        <w:pBdr>
          <w:bottom w:val="single" w:sz="24" w:space="1" w:color="50748A"/>
        </w:pBdr>
        <w:rPr>
          <w:sz w:val="28"/>
        </w:rPr>
      </w:pPr>
      <w:r w:rsidRPr="009B5F45">
        <w:rPr>
          <w:sz w:val="28"/>
        </w:rPr>
        <w:t>Who are we looking for?</w:t>
      </w:r>
    </w:p>
    <w:p w14:paraId="2619A582" w14:textId="77777777" w:rsidR="000403BF" w:rsidRPr="00171B05" w:rsidRDefault="000403BF" w:rsidP="000403BF">
      <w:pPr>
        <w:rPr>
          <w:rFonts w:cs="Times New Roman"/>
        </w:rPr>
      </w:pPr>
      <w:r w:rsidRPr="00171B05">
        <w:rPr>
          <w:rFonts w:cs="Times New Roman"/>
        </w:rPr>
        <w:t xml:space="preserve">We seek people who bring external ideas, diverse experience, and global perspectives, and are willing to explore innovative ways of working. People who work for us will display leadership at all levels, apply information effectively in order to solve problems, and work collaboratively to achieve outcomes. </w:t>
      </w:r>
    </w:p>
    <w:p w14:paraId="40EF3F53" w14:textId="77777777" w:rsidR="000403BF" w:rsidRPr="00541B52" w:rsidRDefault="000403BF" w:rsidP="000403BF">
      <w:pPr>
        <w:rPr>
          <w:rFonts w:cs="Times New Roman"/>
          <w:b/>
          <w:sz w:val="24"/>
        </w:rPr>
      </w:pPr>
      <w:r w:rsidRPr="00541B52">
        <w:rPr>
          <w:rFonts w:cs="Times New Roman"/>
          <w:b/>
          <w:sz w:val="24"/>
        </w:rPr>
        <w:t>Specific requirements of the role:</w:t>
      </w:r>
    </w:p>
    <w:p w14:paraId="355D177D" w14:textId="77777777" w:rsidR="00541B52" w:rsidRPr="00541B52" w:rsidRDefault="00541B52" w:rsidP="00541B52">
      <w:pPr>
        <w:pStyle w:val="ListParagraph"/>
        <w:numPr>
          <w:ilvl w:val="0"/>
          <w:numId w:val="2"/>
        </w:numPr>
        <w:shd w:val="clear" w:color="auto" w:fill="FFFFFF"/>
        <w:spacing w:before="120" w:after="0" w:line="240" w:lineRule="auto"/>
        <w:textAlignment w:val="top"/>
        <w:rPr>
          <w:rFonts w:cs="AvantGarde CondBook"/>
          <w:sz w:val="22"/>
          <w:szCs w:val="22"/>
        </w:rPr>
      </w:pPr>
      <w:r w:rsidRPr="00541B52">
        <w:rPr>
          <w:rFonts w:cs="AvantGarde CondBook"/>
          <w:sz w:val="22"/>
          <w:szCs w:val="22"/>
        </w:rPr>
        <w:t>Excellent communication skills, with the ability to build effective partnerships that engage stakeholders in understanding the issues, identifying innovative solutions and in supporting implementation.</w:t>
      </w:r>
    </w:p>
    <w:p w14:paraId="4F5AE310" w14:textId="77777777" w:rsidR="00541B52" w:rsidRPr="00541B52" w:rsidRDefault="00161779" w:rsidP="00541B52">
      <w:pPr>
        <w:pStyle w:val="ListParagraph"/>
        <w:numPr>
          <w:ilvl w:val="0"/>
          <w:numId w:val="2"/>
        </w:numPr>
        <w:shd w:val="clear" w:color="auto" w:fill="FFFFFF"/>
        <w:spacing w:before="120" w:after="0" w:line="240" w:lineRule="auto"/>
        <w:textAlignment w:val="top"/>
        <w:rPr>
          <w:rFonts w:cs="AvantGarde CondBook"/>
          <w:sz w:val="22"/>
          <w:szCs w:val="22"/>
        </w:rPr>
      </w:pPr>
      <w:r>
        <w:rPr>
          <w:rFonts w:cs="AvantGarde CondBook"/>
          <w:sz w:val="22"/>
          <w:szCs w:val="22"/>
        </w:rPr>
        <w:t>Demonstrated u</w:t>
      </w:r>
      <w:r w:rsidR="00541B52" w:rsidRPr="00541B52">
        <w:rPr>
          <w:rFonts w:cs="AvantGarde CondBook"/>
          <w:sz w:val="22"/>
          <w:szCs w:val="22"/>
        </w:rPr>
        <w:t xml:space="preserve">nderstanding of APS code of conduct investigations and performance management processes in </w:t>
      </w:r>
      <w:r>
        <w:rPr>
          <w:rFonts w:cs="AvantGarde CondBook"/>
          <w:sz w:val="22"/>
          <w:szCs w:val="22"/>
        </w:rPr>
        <w:t xml:space="preserve">an </w:t>
      </w:r>
      <w:r w:rsidR="00541B52" w:rsidRPr="00541B52">
        <w:rPr>
          <w:rFonts w:cs="AvantGarde CondBook"/>
          <w:sz w:val="22"/>
          <w:szCs w:val="22"/>
        </w:rPr>
        <w:t>APS context.</w:t>
      </w:r>
    </w:p>
    <w:p w14:paraId="6CC5AFAE" w14:textId="77777777" w:rsidR="00541B52" w:rsidRPr="00541B52" w:rsidRDefault="00541B52" w:rsidP="00541B52">
      <w:pPr>
        <w:pStyle w:val="ListParagraph"/>
        <w:numPr>
          <w:ilvl w:val="0"/>
          <w:numId w:val="2"/>
        </w:numPr>
        <w:shd w:val="clear" w:color="auto" w:fill="FFFFFF"/>
        <w:spacing w:before="120" w:after="0" w:line="240" w:lineRule="auto"/>
        <w:textAlignment w:val="top"/>
        <w:rPr>
          <w:rFonts w:cs="AvantGarde CondBook"/>
          <w:sz w:val="22"/>
          <w:szCs w:val="22"/>
        </w:rPr>
      </w:pPr>
      <w:r w:rsidRPr="00541B52">
        <w:rPr>
          <w:rFonts w:cs="AvantGarde CondBook"/>
          <w:sz w:val="22"/>
          <w:szCs w:val="22"/>
        </w:rPr>
        <w:t>Ability to deal with highly sensitive situations.</w:t>
      </w:r>
    </w:p>
    <w:p w14:paraId="76F1A25D" w14:textId="77777777" w:rsidR="00541B52" w:rsidRPr="00541B52" w:rsidRDefault="00161779" w:rsidP="00541B52">
      <w:pPr>
        <w:pStyle w:val="ListParagraph"/>
        <w:numPr>
          <w:ilvl w:val="0"/>
          <w:numId w:val="2"/>
        </w:numPr>
        <w:shd w:val="clear" w:color="auto" w:fill="FFFFFF"/>
        <w:spacing w:before="120" w:after="0" w:line="240" w:lineRule="auto"/>
        <w:textAlignment w:val="top"/>
        <w:rPr>
          <w:rFonts w:cs="AvantGarde CondBook"/>
          <w:sz w:val="22"/>
          <w:szCs w:val="22"/>
        </w:rPr>
      </w:pPr>
      <w:r>
        <w:rPr>
          <w:rFonts w:cs="AvantGarde CondBook"/>
          <w:sz w:val="22"/>
          <w:szCs w:val="22"/>
        </w:rPr>
        <w:t>Ability to i</w:t>
      </w:r>
      <w:r w:rsidR="00541B52" w:rsidRPr="00541B52">
        <w:rPr>
          <w:rFonts w:cs="AvantGarde CondBook"/>
          <w:sz w:val="22"/>
          <w:szCs w:val="22"/>
        </w:rPr>
        <w:t>dentify where technical support, information and guidance is available and seek this guidance and assistance when appropriate.</w:t>
      </w:r>
    </w:p>
    <w:p w14:paraId="2EEEC93D" w14:textId="77777777" w:rsidR="000403BF" w:rsidRPr="00541B52" w:rsidRDefault="00541B52" w:rsidP="00541B52">
      <w:pPr>
        <w:pStyle w:val="ListParagraph"/>
        <w:numPr>
          <w:ilvl w:val="0"/>
          <w:numId w:val="2"/>
        </w:numPr>
        <w:shd w:val="clear" w:color="auto" w:fill="FFFFFF"/>
        <w:spacing w:before="120" w:after="0" w:line="240" w:lineRule="auto"/>
        <w:textAlignment w:val="top"/>
        <w:rPr>
          <w:rFonts w:cs="AvantGarde CondBook"/>
          <w:sz w:val="22"/>
          <w:szCs w:val="22"/>
        </w:rPr>
      </w:pPr>
      <w:r w:rsidRPr="00541B52">
        <w:rPr>
          <w:rFonts w:cs="AvantGarde CondBook"/>
          <w:sz w:val="22"/>
          <w:szCs w:val="22"/>
        </w:rPr>
        <w:t>Ability to work independently and as part of a team.</w:t>
      </w:r>
    </w:p>
    <w:p w14:paraId="19AB01F4" w14:textId="77777777" w:rsidR="000403BF" w:rsidRPr="00171B05" w:rsidRDefault="000403BF" w:rsidP="000403BF">
      <w:pPr>
        <w:shd w:val="clear" w:color="auto" w:fill="FFFFFF"/>
        <w:spacing w:before="120" w:after="0" w:line="240" w:lineRule="auto"/>
        <w:textAlignment w:val="top"/>
        <w:rPr>
          <w:rFonts w:cs="Times New Roman"/>
        </w:rPr>
      </w:pPr>
      <w:r w:rsidRPr="00171B05">
        <w:rPr>
          <w:rFonts w:cs="Times New Roman"/>
        </w:rPr>
        <w:t xml:space="preserve">Please refer to the </w:t>
      </w:r>
      <w:hyperlink r:id="rId10" w:history="1">
        <w:r w:rsidRPr="00AB4F44">
          <w:rPr>
            <w:rFonts w:cs="Times New Roman"/>
            <w:color w:val="002060"/>
            <w:u w:val="single"/>
          </w:rPr>
          <w:t>AGD Performance Expectations</w:t>
        </w:r>
      </w:hyperlink>
      <w:r>
        <w:rPr>
          <w:rFonts w:cs="Times New Roman"/>
          <w:color w:val="595959"/>
        </w:rPr>
        <w:t xml:space="preserve"> </w:t>
      </w:r>
      <w:r w:rsidRPr="00171B05">
        <w:rPr>
          <w:rFonts w:cs="Times New Roman"/>
        </w:rPr>
        <w:t>for more detail.</w:t>
      </w:r>
      <w:r w:rsidR="009C3B06" w:rsidRPr="00171B05">
        <w:rPr>
          <w:rFonts w:cs="Times New Roman"/>
        </w:rPr>
        <w:br/>
      </w:r>
    </w:p>
    <w:p w14:paraId="5076AA7B" w14:textId="77777777" w:rsidR="000403BF" w:rsidRPr="00171B05" w:rsidRDefault="000403BF" w:rsidP="000403BF">
      <w:pPr>
        <w:rPr>
          <w:rFonts w:cs="Times New Roman"/>
        </w:rPr>
      </w:pPr>
      <w:r w:rsidRPr="00171B05">
        <w:rPr>
          <w:rFonts w:cs="Times New Roman"/>
        </w:rPr>
        <w:t>The range and nature of work within the Attorney-General’s Department requires a workforce that reflects our diverse society and the department provides a number of support mechanisms for employees.</w:t>
      </w:r>
    </w:p>
    <w:p w14:paraId="1A5405C9" w14:textId="246EB900" w:rsidR="00C85A16" w:rsidRDefault="00C85A16" w:rsidP="00067470">
      <w:pPr>
        <w:spacing w:after="40"/>
        <w:rPr>
          <w:rFonts w:cs="Times New Roman"/>
        </w:rPr>
      </w:pPr>
    </w:p>
    <w:p w14:paraId="73771D67" w14:textId="66BDCC50" w:rsidR="000403BF" w:rsidRPr="00171B05" w:rsidRDefault="000403BF" w:rsidP="00067470">
      <w:pPr>
        <w:spacing w:after="40"/>
        <w:rPr>
          <w:rFonts w:cs="Times New Roman"/>
        </w:rPr>
      </w:pPr>
      <w:r w:rsidRPr="00171B05">
        <w:rPr>
          <w:rFonts w:cs="Times New Roman"/>
        </w:rPr>
        <w:lastRenderedPageBreak/>
        <w:t>As an AGD employee, you will:</w:t>
      </w:r>
    </w:p>
    <w:p w14:paraId="3BAFE7C3" w14:textId="77777777" w:rsidR="000403BF" w:rsidRPr="00171B05"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71B05">
        <w:rPr>
          <w:rFonts w:eastAsia="Calibri"/>
          <w:sz w:val="22"/>
          <w:szCs w:val="22"/>
          <w:lang w:eastAsia="en-US"/>
        </w:rPr>
        <w:t>be part of an inclusive and diverse work environment</w:t>
      </w:r>
    </w:p>
    <w:p w14:paraId="665AFAAE" w14:textId="77777777" w:rsidR="000403BF" w:rsidRPr="00171B05"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71B05">
        <w:rPr>
          <w:rFonts w:eastAsia="Calibri"/>
          <w:sz w:val="22"/>
          <w:szCs w:val="22"/>
          <w:lang w:eastAsia="en-US"/>
        </w:rPr>
        <w:t>receive a generous starting salary and work conditions</w:t>
      </w:r>
    </w:p>
    <w:p w14:paraId="4B4FD30E" w14:textId="77777777" w:rsidR="000403BF" w:rsidRPr="00171B05"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71B05">
        <w:rPr>
          <w:rFonts w:eastAsia="Calibri"/>
          <w:sz w:val="22"/>
          <w:szCs w:val="22"/>
          <w:lang w:eastAsia="en-US"/>
        </w:rPr>
        <w:t>benefit from supportive learning and development</w:t>
      </w:r>
    </w:p>
    <w:p w14:paraId="5060A4DD" w14:textId="77777777" w:rsidR="000403BF" w:rsidRPr="00171B05"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71B05">
        <w:rPr>
          <w:rFonts w:eastAsia="Calibri"/>
          <w:sz w:val="22"/>
          <w:szCs w:val="22"/>
          <w:lang w:eastAsia="en-US"/>
        </w:rPr>
        <w:t>be supported by a range of active networks including the Indigenous Employee Network, the Celeb</w:t>
      </w:r>
      <w:r w:rsidR="00F83C9F" w:rsidRPr="00171B05">
        <w:rPr>
          <w:rFonts w:eastAsia="Calibri"/>
          <w:sz w:val="22"/>
          <w:szCs w:val="22"/>
          <w:lang w:eastAsia="en-US"/>
        </w:rPr>
        <w:t>rating Ability Network, the Wome</w:t>
      </w:r>
      <w:r w:rsidRPr="00171B05">
        <w:rPr>
          <w:rFonts w:eastAsia="Calibri"/>
          <w:sz w:val="22"/>
          <w:szCs w:val="22"/>
          <w:lang w:eastAsia="en-US"/>
        </w:rPr>
        <w:t>n’s Network, the Pride Network and the Cultural and Linguistically Diverse Network.</w:t>
      </w:r>
    </w:p>
    <w:p w14:paraId="26A197E4" w14:textId="77777777" w:rsidR="000403BF" w:rsidRPr="00252957" w:rsidRDefault="000403BF" w:rsidP="000403BF">
      <w:pPr>
        <w:rPr>
          <w:rFonts w:eastAsia="Times New Roman"/>
          <w:color w:val="111111"/>
        </w:rPr>
      </w:pPr>
      <w:r w:rsidRPr="00171B05">
        <w:rPr>
          <w:rFonts w:cs="Times New Roman"/>
        </w:rPr>
        <w:t xml:space="preserve">To see further information regarding our support for our employees, please see our </w:t>
      </w:r>
      <w:hyperlink r:id="rId11" w:history="1">
        <w:r w:rsidRPr="00AB4F44">
          <w:rPr>
            <w:rFonts w:cs="Times New Roman"/>
            <w:color w:val="002060"/>
            <w:u w:val="single"/>
          </w:rPr>
          <w:t>Workplace Diversity Page</w:t>
        </w:r>
      </w:hyperlink>
      <w:r w:rsidRPr="00AB4F44">
        <w:rPr>
          <w:rFonts w:cs="Times New Roman"/>
          <w:color w:val="002060"/>
          <w:u w:val="single"/>
        </w:rPr>
        <w:t>.</w:t>
      </w:r>
    </w:p>
    <w:p w14:paraId="204CC4FF" w14:textId="77777777" w:rsidR="000403BF" w:rsidRPr="00F071B0" w:rsidRDefault="00067470" w:rsidP="000403BF">
      <w:pPr>
        <w:pStyle w:val="Heading2"/>
        <w:pBdr>
          <w:bottom w:val="single" w:sz="24" w:space="1" w:color="50748A"/>
        </w:pBdr>
        <w:rPr>
          <w:sz w:val="28"/>
        </w:rPr>
      </w:pPr>
      <w:r>
        <w:rPr>
          <w:sz w:val="28"/>
        </w:rPr>
        <w:t>The selection process may entail</w:t>
      </w:r>
    </w:p>
    <w:p w14:paraId="3C2E22D5" w14:textId="77777777" w:rsidR="000403BF" w:rsidRPr="00171B05" w:rsidRDefault="000403BF" w:rsidP="000403BF">
      <w:pPr>
        <w:rPr>
          <w:rFonts w:cs="Times New Roman"/>
        </w:rPr>
      </w:pPr>
      <w:r w:rsidRPr="00171B05">
        <w:rPr>
          <w:rFonts w:cs="Times New Roman"/>
        </w:rPr>
        <w:t>AGD uses a range of assessment processes to assist us in selecting suitable applicants. We uphold the Merit Principle and our processes are designed to select the best available person for the job.</w:t>
      </w:r>
    </w:p>
    <w:tbl>
      <w:tblPr>
        <w:tblStyle w:val="TableGridLight"/>
        <w:tblW w:w="0" w:type="auto"/>
        <w:tblLook w:val="04A0" w:firstRow="1" w:lastRow="0" w:firstColumn="1" w:lastColumn="0" w:noHBand="0" w:noVBand="1"/>
        <w:tblCaption w:val="Selection Process"/>
      </w:tblPr>
      <w:tblGrid>
        <w:gridCol w:w="691"/>
        <w:gridCol w:w="1087"/>
        <w:gridCol w:w="7238"/>
      </w:tblGrid>
      <w:tr w:rsidR="000403BF" w14:paraId="7BCD8F9E" w14:textId="77777777" w:rsidTr="000403BF">
        <w:trPr>
          <w:tblHeader/>
        </w:trPr>
        <w:tc>
          <w:tcPr>
            <w:tcW w:w="691" w:type="dxa"/>
            <w:vAlign w:val="center"/>
          </w:tcPr>
          <w:p w14:paraId="50FB280F" w14:textId="77777777" w:rsidR="000403BF" w:rsidRPr="00370BC0" w:rsidRDefault="000403BF" w:rsidP="00CE0DAD">
            <w:pPr>
              <w:jc w:val="center"/>
              <w:rPr>
                <w:rFonts w:eastAsia="Times New Roman"/>
                <w:b/>
                <w:color w:val="50748A"/>
                <w:sz w:val="48"/>
                <w:szCs w:val="48"/>
              </w:rPr>
            </w:pPr>
            <w:r w:rsidRPr="00370BC0">
              <w:rPr>
                <w:rFonts w:eastAsia="Times New Roman"/>
                <w:b/>
                <w:color w:val="50748A"/>
                <w:sz w:val="48"/>
                <w:szCs w:val="48"/>
              </w:rPr>
              <w:t>1</w:t>
            </w:r>
            <w:r w:rsidRPr="00370BC0">
              <w:rPr>
                <w:b/>
                <w:color w:val="31849B"/>
                <w:sz w:val="48"/>
                <w:szCs w:val="48"/>
              </w:rPr>
              <w:t>.</w:t>
            </w:r>
          </w:p>
        </w:tc>
        <w:tc>
          <w:tcPr>
            <w:tcW w:w="1087" w:type="dxa"/>
            <w:vAlign w:val="center"/>
          </w:tcPr>
          <w:p w14:paraId="4E3CA9C1" w14:textId="77777777" w:rsidR="000403BF" w:rsidRPr="0042327D" w:rsidRDefault="000403BF" w:rsidP="00CE0DAD">
            <w:pPr>
              <w:jc w:val="center"/>
              <w:rPr>
                <w:rFonts w:eastAsia="Times New Roman"/>
                <w:b/>
                <w:sz w:val="21"/>
                <w:szCs w:val="21"/>
              </w:rPr>
            </w:pPr>
            <w:r w:rsidRPr="0042327D">
              <w:rPr>
                <w:rFonts w:eastAsia="Times New Roman"/>
                <w:b/>
                <w:sz w:val="21"/>
                <w:szCs w:val="21"/>
              </w:rPr>
              <w:t>Submit</w:t>
            </w:r>
          </w:p>
        </w:tc>
        <w:tc>
          <w:tcPr>
            <w:tcW w:w="7238" w:type="dxa"/>
          </w:tcPr>
          <w:p w14:paraId="084936F2" w14:textId="77777777" w:rsidR="000403BF" w:rsidRPr="0042327D" w:rsidRDefault="000403BF" w:rsidP="00CE0DAD">
            <w:pPr>
              <w:rPr>
                <w:rFonts w:eastAsia="Times New Roman"/>
                <w:sz w:val="21"/>
                <w:szCs w:val="21"/>
              </w:rPr>
            </w:pPr>
            <w:r w:rsidRPr="00171B05">
              <w:rPr>
                <w:rFonts w:asciiTheme="minorHAnsi" w:eastAsiaTheme="minorHAnsi" w:hAnsiTheme="minorHAnsi"/>
                <w:sz w:val="22"/>
                <w:szCs w:val="22"/>
                <w:lang w:val="en-GB" w:eastAsia="en-US"/>
              </w:rPr>
              <w:t>Complete and submit your resume, referees and statement of claims (max. 750 words).</w:t>
            </w:r>
          </w:p>
        </w:tc>
      </w:tr>
      <w:tr w:rsidR="000403BF" w14:paraId="18AC23D2" w14:textId="77777777" w:rsidTr="000403BF">
        <w:tc>
          <w:tcPr>
            <w:tcW w:w="691" w:type="dxa"/>
            <w:vAlign w:val="center"/>
          </w:tcPr>
          <w:p w14:paraId="180B98F6" w14:textId="77777777" w:rsidR="000403BF" w:rsidRPr="00370BC0" w:rsidRDefault="000403BF" w:rsidP="00CE0DAD">
            <w:pPr>
              <w:jc w:val="center"/>
              <w:rPr>
                <w:rFonts w:eastAsia="Times New Roman"/>
                <w:b/>
                <w:color w:val="50748A"/>
                <w:sz w:val="48"/>
                <w:szCs w:val="48"/>
              </w:rPr>
            </w:pPr>
            <w:r w:rsidRPr="00370BC0">
              <w:rPr>
                <w:rFonts w:eastAsia="Times New Roman"/>
                <w:b/>
                <w:color w:val="50748A"/>
                <w:sz w:val="48"/>
                <w:szCs w:val="48"/>
              </w:rPr>
              <w:t>2.</w:t>
            </w:r>
          </w:p>
        </w:tc>
        <w:tc>
          <w:tcPr>
            <w:tcW w:w="1087" w:type="dxa"/>
            <w:vAlign w:val="center"/>
          </w:tcPr>
          <w:p w14:paraId="0FF7D2E3" w14:textId="77777777" w:rsidR="000403BF" w:rsidRPr="0042327D" w:rsidRDefault="000403BF" w:rsidP="00CE0DAD">
            <w:pPr>
              <w:jc w:val="center"/>
              <w:rPr>
                <w:rFonts w:eastAsia="Times New Roman"/>
                <w:b/>
                <w:sz w:val="21"/>
                <w:szCs w:val="21"/>
              </w:rPr>
            </w:pPr>
            <w:r w:rsidRPr="0042327D">
              <w:rPr>
                <w:rFonts w:eastAsia="Times New Roman"/>
                <w:b/>
                <w:sz w:val="21"/>
                <w:szCs w:val="21"/>
              </w:rPr>
              <w:t>Shortlist</w:t>
            </w:r>
          </w:p>
        </w:tc>
        <w:tc>
          <w:tcPr>
            <w:tcW w:w="7238" w:type="dxa"/>
          </w:tcPr>
          <w:p w14:paraId="316206D0" w14:textId="77777777" w:rsidR="000403BF" w:rsidRPr="0042327D" w:rsidRDefault="000403BF" w:rsidP="00CE0DAD">
            <w:pPr>
              <w:rPr>
                <w:rFonts w:eastAsia="Times New Roman"/>
                <w:sz w:val="21"/>
                <w:szCs w:val="21"/>
              </w:rPr>
            </w:pPr>
            <w:r w:rsidRPr="00171B05">
              <w:rPr>
                <w:rFonts w:asciiTheme="minorHAnsi" w:eastAsiaTheme="minorHAnsi" w:hAnsiTheme="minorHAnsi"/>
                <w:sz w:val="22"/>
                <w:szCs w:val="22"/>
                <w:lang w:val="en-GB" w:eastAsia="en-US"/>
              </w:rPr>
              <w:t xml:space="preserve">We will assess your written application using the relevant </w:t>
            </w:r>
            <w:hyperlink r:id="rId12" w:history="1">
              <w:r w:rsidRPr="000403BF">
                <w:rPr>
                  <w:rFonts w:asciiTheme="minorHAnsi" w:eastAsiaTheme="minorHAnsi" w:hAnsiTheme="minorHAnsi"/>
                  <w:color w:val="002060"/>
                  <w:sz w:val="22"/>
                  <w:szCs w:val="22"/>
                  <w:u w:val="single"/>
                  <w:lang w:val="en-GB" w:eastAsia="en-US"/>
                </w:rPr>
                <w:t>AGD Performance Expectations</w:t>
              </w:r>
            </w:hyperlink>
            <w:r w:rsidRPr="000403BF">
              <w:rPr>
                <w:rFonts w:asciiTheme="minorHAnsi" w:eastAsiaTheme="minorHAnsi" w:hAnsiTheme="minorHAnsi"/>
                <w:color w:val="002060"/>
                <w:sz w:val="22"/>
                <w:szCs w:val="22"/>
                <w:u w:val="single"/>
                <w:lang w:val="en-GB" w:eastAsia="en-US"/>
              </w:rPr>
              <w:t xml:space="preserve">. </w:t>
            </w:r>
          </w:p>
        </w:tc>
      </w:tr>
      <w:tr w:rsidR="000403BF" w14:paraId="7349BA09" w14:textId="77777777" w:rsidTr="000403BF">
        <w:tc>
          <w:tcPr>
            <w:tcW w:w="691" w:type="dxa"/>
            <w:vAlign w:val="center"/>
          </w:tcPr>
          <w:p w14:paraId="1EE6E2FE" w14:textId="77777777" w:rsidR="000403BF" w:rsidRPr="00370BC0" w:rsidRDefault="000403BF" w:rsidP="00CE0DAD">
            <w:pPr>
              <w:jc w:val="center"/>
              <w:rPr>
                <w:rFonts w:eastAsia="Times New Roman"/>
                <w:b/>
                <w:color w:val="50748A"/>
                <w:sz w:val="48"/>
                <w:szCs w:val="48"/>
              </w:rPr>
            </w:pPr>
            <w:r w:rsidRPr="00370BC0">
              <w:rPr>
                <w:rFonts w:eastAsia="Times New Roman"/>
                <w:b/>
                <w:color w:val="50748A"/>
                <w:sz w:val="48"/>
                <w:szCs w:val="48"/>
              </w:rPr>
              <w:t>3.</w:t>
            </w:r>
          </w:p>
        </w:tc>
        <w:tc>
          <w:tcPr>
            <w:tcW w:w="1087" w:type="dxa"/>
            <w:vAlign w:val="center"/>
          </w:tcPr>
          <w:p w14:paraId="1A9EEA7D" w14:textId="77777777" w:rsidR="000403BF" w:rsidRPr="0042327D" w:rsidRDefault="000403BF" w:rsidP="00CE0DAD">
            <w:pPr>
              <w:jc w:val="center"/>
              <w:rPr>
                <w:rFonts w:eastAsia="Times New Roman"/>
                <w:b/>
                <w:sz w:val="21"/>
                <w:szCs w:val="21"/>
              </w:rPr>
            </w:pPr>
            <w:r w:rsidRPr="0042327D">
              <w:rPr>
                <w:rFonts w:eastAsia="Times New Roman"/>
                <w:b/>
                <w:sz w:val="21"/>
                <w:szCs w:val="21"/>
              </w:rPr>
              <w:t>Interview</w:t>
            </w:r>
          </w:p>
        </w:tc>
        <w:tc>
          <w:tcPr>
            <w:tcW w:w="7238" w:type="dxa"/>
          </w:tcPr>
          <w:p w14:paraId="5D968A6F" w14:textId="77777777" w:rsidR="000403BF" w:rsidRPr="00171B05" w:rsidRDefault="000403BF" w:rsidP="00CE0DAD">
            <w:pPr>
              <w:rPr>
                <w:rFonts w:eastAsia="Times New Roman"/>
                <w:sz w:val="21"/>
                <w:szCs w:val="21"/>
              </w:rPr>
            </w:pPr>
            <w:r w:rsidRPr="00171B05">
              <w:rPr>
                <w:rFonts w:asciiTheme="minorHAnsi" w:eastAsiaTheme="minorHAnsi" w:hAnsiTheme="minorHAnsi"/>
                <w:sz w:val="22"/>
                <w:szCs w:val="22"/>
                <w:lang w:val="en-GB" w:eastAsia="en-US"/>
              </w:rPr>
              <w:t>If your application is found successful, you can come to an interview either in person or via telephone or video.</w:t>
            </w:r>
          </w:p>
        </w:tc>
      </w:tr>
      <w:tr w:rsidR="004A0CAE" w14:paraId="2699FDE8" w14:textId="77777777" w:rsidTr="000403BF">
        <w:tc>
          <w:tcPr>
            <w:tcW w:w="691" w:type="dxa"/>
            <w:vAlign w:val="center"/>
          </w:tcPr>
          <w:p w14:paraId="6E72D2D1" w14:textId="77777777" w:rsidR="004A0CAE" w:rsidRPr="00370BC0" w:rsidRDefault="004A0CAE" w:rsidP="004A0CAE">
            <w:pPr>
              <w:jc w:val="center"/>
              <w:rPr>
                <w:rFonts w:eastAsia="Times New Roman"/>
                <w:b/>
                <w:color w:val="50748A"/>
                <w:sz w:val="48"/>
                <w:szCs w:val="48"/>
              </w:rPr>
            </w:pPr>
            <w:r w:rsidRPr="00370BC0">
              <w:rPr>
                <w:rFonts w:eastAsia="Times New Roman"/>
                <w:b/>
                <w:color w:val="50748A"/>
                <w:sz w:val="48"/>
                <w:szCs w:val="48"/>
              </w:rPr>
              <w:t>4.</w:t>
            </w:r>
          </w:p>
        </w:tc>
        <w:tc>
          <w:tcPr>
            <w:tcW w:w="1087" w:type="dxa"/>
            <w:vAlign w:val="center"/>
          </w:tcPr>
          <w:p w14:paraId="460E9D54" w14:textId="77777777" w:rsidR="004A0CAE" w:rsidRPr="0042327D" w:rsidRDefault="004A0CAE" w:rsidP="004A0CAE">
            <w:pPr>
              <w:jc w:val="center"/>
              <w:rPr>
                <w:rFonts w:eastAsia="Times New Roman"/>
                <w:b/>
                <w:sz w:val="21"/>
                <w:szCs w:val="21"/>
              </w:rPr>
            </w:pPr>
            <w:r>
              <w:rPr>
                <w:rFonts w:eastAsia="Times New Roman"/>
                <w:b/>
                <w:sz w:val="21"/>
                <w:szCs w:val="21"/>
              </w:rPr>
              <w:t>Work Sample Test</w:t>
            </w:r>
          </w:p>
        </w:tc>
        <w:tc>
          <w:tcPr>
            <w:tcW w:w="7238" w:type="dxa"/>
          </w:tcPr>
          <w:p w14:paraId="39B66DAB" w14:textId="77777777" w:rsidR="004A0CAE" w:rsidRPr="00171B05" w:rsidRDefault="004A0CAE" w:rsidP="004A0CAE">
            <w:r w:rsidRPr="00171B05">
              <w:rPr>
                <w:rFonts w:asciiTheme="minorHAnsi" w:eastAsiaTheme="minorHAnsi" w:hAnsiTheme="minorHAnsi"/>
                <w:sz w:val="22"/>
                <w:szCs w:val="22"/>
                <w:lang w:val="en-GB" w:eastAsia="en-US"/>
              </w:rPr>
              <w:t xml:space="preserve"> In addition to an interview, you will need to complete a work sample test (a practical exercise designed to replicate a real-life work environment) either in person or remotely.</w:t>
            </w:r>
          </w:p>
        </w:tc>
      </w:tr>
      <w:tr w:rsidR="000403BF" w14:paraId="44F25CD9" w14:textId="77777777" w:rsidTr="000403BF">
        <w:tc>
          <w:tcPr>
            <w:tcW w:w="691" w:type="dxa"/>
            <w:vAlign w:val="center"/>
          </w:tcPr>
          <w:p w14:paraId="7CAE7D60" w14:textId="77777777" w:rsidR="000403BF" w:rsidRPr="00370BC0" w:rsidRDefault="004A0CAE" w:rsidP="00CE0DAD">
            <w:pPr>
              <w:jc w:val="center"/>
              <w:rPr>
                <w:rFonts w:eastAsia="Times New Roman"/>
                <w:b/>
                <w:color w:val="50748A"/>
                <w:sz w:val="48"/>
                <w:szCs w:val="48"/>
              </w:rPr>
            </w:pPr>
            <w:r>
              <w:rPr>
                <w:rFonts w:eastAsia="Times New Roman"/>
                <w:b/>
                <w:color w:val="50748A"/>
                <w:sz w:val="48"/>
                <w:szCs w:val="48"/>
              </w:rPr>
              <w:t>5</w:t>
            </w:r>
            <w:r w:rsidR="000403BF" w:rsidRPr="00370BC0">
              <w:rPr>
                <w:rFonts w:eastAsia="Times New Roman"/>
                <w:b/>
                <w:color w:val="50748A"/>
                <w:sz w:val="48"/>
                <w:szCs w:val="48"/>
              </w:rPr>
              <w:t>.</w:t>
            </w:r>
          </w:p>
        </w:tc>
        <w:tc>
          <w:tcPr>
            <w:tcW w:w="1087" w:type="dxa"/>
            <w:vAlign w:val="center"/>
          </w:tcPr>
          <w:p w14:paraId="4D0CD2BF" w14:textId="77777777" w:rsidR="000403BF" w:rsidRPr="0042327D" w:rsidRDefault="000403BF" w:rsidP="00CE0DAD">
            <w:pPr>
              <w:jc w:val="center"/>
              <w:rPr>
                <w:rFonts w:eastAsia="Times New Roman"/>
                <w:b/>
                <w:sz w:val="21"/>
                <w:szCs w:val="21"/>
              </w:rPr>
            </w:pPr>
            <w:r w:rsidRPr="0042327D">
              <w:rPr>
                <w:rFonts w:eastAsia="Times New Roman"/>
                <w:b/>
                <w:sz w:val="21"/>
                <w:szCs w:val="21"/>
              </w:rPr>
              <w:t>Referees</w:t>
            </w:r>
          </w:p>
        </w:tc>
        <w:tc>
          <w:tcPr>
            <w:tcW w:w="7238" w:type="dxa"/>
          </w:tcPr>
          <w:p w14:paraId="7FFDC16D" w14:textId="77777777" w:rsidR="000403BF" w:rsidRPr="00171B05" w:rsidRDefault="000403BF" w:rsidP="00CE0DAD">
            <w:pPr>
              <w:rPr>
                <w:rFonts w:eastAsia="Times New Roman"/>
                <w:sz w:val="21"/>
                <w:szCs w:val="21"/>
              </w:rPr>
            </w:pPr>
            <w:r w:rsidRPr="00171B05">
              <w:rPr>
                <w:rFonts w:asciiTheme="minorHAnsi" w:eastAsiaTheme="minorHAnsi" w:hAnsiTheme="minorHAnsi"/>
                <w:sz w:val="22"/>
                <w:szCs w:val="22"/>
                <w:lang w:val="en-GB" w:eastAsia="en-US"/>
              </w:rPr>
              <w:t>We will contact at least one of your referees to help us determine if you are suitable for the roles.</w:t>
            </w:r>
            <w:r w:rsidRPr="00171B05">
              <w:rPr>
                <w:rFonts w:eastAsia="Times New Roman"/>
              </w:rPr>
              <w:t xml:space="preserve"> </w:t>
            </w:r>
            <w:r w:rsidRPr="00171B05">
              <w:rPr>
                <w:rFonts w:eastAsia="Times New Roman"/>
                <w:sz w:val="21"/>
                <w:szCs w:val="21"/>
              </w:rPr>
              <w:t xml:space="preserve"> </w:t>
            </w:r>
          </w:p>
        </w:tc>
      </w:tr>
      <w:tr w:rsidR="000403BF" w14:paraId="02ABE3F2" w14:textId="77777777" w:rsidTr="000403BF">
        <w:trPr>
          <w:trHeight w:val="904"/>
        </w:trPr>
        <w:tc>
          <w:tcPr>
            <w:tcW w:w="691" w:type="dxa"/>
            <w:vAlign w:val="center"/>
          </w:tcPr>
          <w:p w14:paraId="20E0BA30" w14:textId="77777777" w:rsidR="000403BF" w:rsidRPr="00370BC0" w:rsidRDefault="004A0CAE" w:rsidP="00CE0DAD">
            <w:pPr>
              <w:jc w:val="center"/>
              <w:rPr>
                <w:rFonts w:eastAsia="Times New Roman"/>
                <w:b/>
                <w:color w:val="50748A"/>
                <w:sz w:val="48"/>
                <w:szCs w:val="48"/>
              </w:rPr>
            </w:pPr>
            <w:r>
              <w:rPr>
                <w:rFonts w:eastAsia="Times New Roman"/>
                <w:b/>
                <w:color w:val="50748A"/>
                <w:sz w:val="48"/>
                <w:szCs w:val="48"/>
              </w:rPr>
              <w:t>6</w:t>
            </w:r>
            <w:r w:rsidR="000403BF" w:rsidRPr="00370BC0">
              <w:rPr>
                <w:rFonts w:eastAsia="Times New Roman"/>
                <w:b/>
                <w:color w:val="50748A"/>
                <w:sz w:val="48"/>
                <w:szCs w:val="48"/>
              </w:rPr>
              <w:t>.</w:t>
            </w:r>
          </w:p>
        </w:tc>
        <w:tc>
          <w:tcPr>
            <w:tcW w:w="1087" w:type="dxa"/>
            <w:vAlign w:val="center"/>
          </w:tcPr>
          <w:p w14:paraId="6853969B" w14:textId="77777777" w:rsidR="000403BF" w:rsidRPr="0042327D" w:rsidRDefault="000403BF" w:rsidP="00CE0DAD">
            <w:pPr>
              <w:jc w:val="center"/>
              <w:rPr>
                <w:rFonts w:eastAsia="Times New Roman"/>
                <w:b/>
                <w:sz w:val="21"/>
                <w:szCs w:val="21"/>
              </w:rPr>
            </w:pPr>
            <w:r w:rsidRPr="0042327D">
              <w:rPr>
                <w:rFonts w:eastAsia="Times New Roman"/>
                <w:b/>
                <w:sz w:val="21"/>
                <w:szCs w:val="21"/>
              </w:rPr>
              <w:t>Process complete</w:t>
            </w:r>
          </w:p>
        </w:tc>
        <w:tc>
          <w:tcPr>
            <w:tcW w:w="7238" w:type="dxa"/>
          </w:tcPr>
          <w:p w14:paraId="69C5A9F9" w14:textId="77777777" w:rsidR="000403BF" w:rsidRPr="00171B05" w:rsidRDefault="000403BF" w:rsidP="00CE0DAD">
            <w:pPr>
              <w:rPr>
                <w:rFonts w:asciiTheme="minorHAnsi" w:eastAsiaTheme="minorHAnsi" w:hAnsiTheme="minorHAnsi"/>
                <w:sz w:val="22"/>
                <w:szCs w:val="22"/>
                <w:lang w:val="en-GB" w:eastAsia="en-US"/>
              </w:rPr>
            </w:pPr>
            <w:r w:rsidRPr="00171B05">
              <w:rPr>
                <w:rFonts w:asciiTheme="minorHAnsi" w:eastAsiaTheme="minorHAnsi" w:hAnsiTheme="minorHAnsi"/>
                <w:sz w:val="22"/>
                <w:szCs w:val="22"/>
                <w:lang w:val="en-GB" w:eastAsia="en-US"/>
              </w:rPr>
              <w:t xml:space="preserve">When the process is over, we will let you know the outcome via email. </w:t>
            </w:r>
          </w:p>
          <w:p w14:paraId="5F16A459" w14:textId="77777777" w:rsidR="000403BF" w:rsidRPr="00171B05" w:rsidRDefault="000403BF" w:rsidP="00CE0DAD">
            <w:pPr>
              <w:rPr>
                <w:rFonts w:eastAsia="Times New Roman"/>
                <w:sz w:val="21"/>
                <w:szCs w:val="21"/>
                <w:highlight w:val="yellow"/>
              </w:rPr>
            </w:pPr>
            <w:r w:rsidRPr="00171B05">
              <w:rPr>
                <w:rFonts w:asciiTheme="minorHAnsi" w:eastAsiaTheme="minorHAnsi" w:hAnsiTheme="minorHAnsi"/>
                <w:sz w:val="22"/>
                <w:szCs w:val="22"/>
                <w:lang w:val="en-GB" w:eastAsia="en-US"/>
              </w:rPr>
              <w:t xml:space="preserve">A number of positions will be filled immediately. However, we will also create a merit pool and use this to fill future </w:t>
            </w:r>
            <w:r w:rsidR="0016383D">
              <w:rPr>
                <w:rFonts w:asciiTheme="minorHAnsi" w:eastAsiaTheme="minorHAnsi" w:hAnsiTheme="minorHAnsi"/>
                <w:sz w:val="22"/>
                <w:szCs w:val="22"/>
                <w:lang w:val="en-GB" w:eastAsia="en-US"/>
              </w:rPr>
              <w:t>vacancies over the next 18</w:t>
            </w:r>
            <w:r w:rsidRPr="00171B05">
              <w:rPr>
                <w:rFonts w:asciiTheme="minorHAnsi" w:eastAsiaTheme="minorHAnsi" w:hAnsiTheme="minorHAnsi"/>
                <w:sz w:val="22"/>
                <w:szCs w:val="22"/>
                <w:lang w:val="en-GB" w:eastAsia="en-US"/>
              </w:rPr>
              <w:t xml:space="preserve"> months.</w:t>
            </w:r>
            <w:r w:rsidRPr="00171B05">
              <w:rPr>
                <w:rFonts w:eastAsia="Times New Roman"/>
              </w:rPr>
              <w:t xml:space="preserve"> </w:t>
            </w:r>
          </w:p>
        </w:tc>
      </w:tr>
    </w:tbl>
    <w:p w14:paraId="175466D3" w14:textId="77777777" w:rsidR="000403BF" w:rsidRPr="00F071B0" w:rsidRDefault="000403BF" w:rsidP="000403BF">
      <w:pPr>
        <w:pStyle w:val="Heading2"/>
        <w:pBdr>
          <w:bottom w:val="single" w:sz="24" w:space="1" w:color="50748A"/>
        </w:pBdr>
        <w:rPr>
          <w:sz w:val="28"/>
        </w:rPr>
      </w:pPr>
      <w:r w:rsidRPr="009B5F45">
        <w:rPr>
          <w:sz w:val="28"/>
        </w:rPr>
        <w:t>Are you eligible to apply?</w:t>
      </w:r>
    </w:p>
    <w:p w14:paraId="1BF97111" w14:textId="77777777" w:rsidR="000403BF" w:rsidRPr="009410DB" w:rsidRDefault="000403BF" w:rsidP="000403BF">
      <w:pPr>
        <w:rPr>
          <w:rFonts w:cs="Times New Roman"/>
        </w:rPr>
      </w:pPr>
      <w:r w:rsidRPr="009410DB">
        <w:rPr>
          <w:rFonts w:cs="Times New Roman"/>
        </w:rPr>
        <w:t xml:space="preserve">To be eligible for employment at the Attorney-General’s Department applicants must be Australian citizens. </w:t>
      </w:r>
    </w:p>
    <w:p w14:paraId="4B735D6F" w14:textId="77777777" w:rsidR="000403BF" w:rsidRPr="009410DB" w:rsidRDefault="000403BF" w:rsidP="000403BF">
      <w:pPr>
        <w:rPr>
          <w:rFonts w:cs="Times New Roman"/>
        </w:rPr>
      </w:pPr>
      <w:r w:rsidRPr="009410DB">
        <w:rPr>
          <w:rFonts w:cs="Times New Roman"/>
        </w:rPr>
        <w:t>Applicants offered employment will be required to successfully undergo a police record check and be able to obtain and maintain a security clearance at a specified clearance level. The successful applicant must be willing to disclose all relevant and required information.</w:t>
      </w:r>
    </w:p>
    <w:p w14:paraId="7A6986B0" w14:textId="7149E3F9" w:rsidR="000403BF" w:rsidRPr="009410DB" w:rsidRDefault="000403BF" w:rsidP="006076F4">
      <w:pPr>
        <w:rPr>
          <w:highlight w:val="yellow"/>
        </w:rPr>
      </w:pPr>
      <w:r w:rsidRPr="009410DB">
        <w:rPr>
          <w:rFonts w:cs="Times New Roman"/>
        </w:rPr>
        <w:t xml:space="preserve">Successful applicants engaged into the APS will be subject to a probation period. </w:t>
      </w:r>
    </w:p>
    <w:p w14:paraId="3D611AA7" w14:textId="77777777" w:rsidR="000403BF" w:rsidRPr="00F071B0" w:rsidRDefault="000403BF" w:rsidP="000403BF">
      <w:pPr>
        <w:pStyle w:val="Heading2"/>
        <w:pBdr>
          <w:bottom w:val="single" w:sz="24" w:space="1" w:color="50748A"/>
        </w:pBdr>
        <w:rPr>
          <w:color w:val="595959"/>
          <w:sz w:val="16"/>
          <w:szCs w:val="22"/>
          <w:highlight w:val="yellow"/>
        </w:rPr>
      </w:pPr>
      <w:r w:rsidRPr="009B5F45">
        <w:rPr>
          <w:sz w:val="28"/>
        </w:rPr>
        <w:t>How to apply</w:t>
      </w:r>
    </w:p>
    <w:p w14:paraId="5148574D" w14:textId="77777777" w:rsidR="000403BF" w:rsidRPr="009410DB" w:rsidRDefault="000403BF" w:rsidP="000403BF">
      <w:pPr>
        <w:rPr>
          <w:rFonts w:cs="Times New Roman"/>
        </w:rPr>
      </w:pPr>
      <w:r w:rsidRPr="009410DB">
        <w:rPr>
          <w:rFonts w:cs="Times New Roman"/>
        </w:rPr>
        <w:t xml:space="preserve">Applications must be completed using the </w:t>
      </w:r>
      <w:hyperlink r:id="rId13" w:history="1">
        <w:r w:rsidRPr="009B5F45">
          <w:rPr>
            <w:rFonts w:cs="Times New Roman"/>
            <w:color w:val="002060"/>
            <w:u w:val="single"/>
          </w:rPr>
          <w:t>online recruitment system</w:t>
        </w:r>
      </w:hyperlink>
      <w:r w:rsidRPr="009410DB">
        <w:rPr>
          <w:rFonts w:cs="Times New Roman"/>
        </w:rPr>
        <w:t xml:space="preserve">. If you are experiencing difficulties lodging your application, please contact our Recruitment Team by email </w:t>
      </w:r>
      <w:hyperlink r:id="rId14" w:history="1">
        <w:r w:rsidRPr="00D646AC">
          <w:rPr>
            <w:rFonts w:cs="Times New Roman"/>
            <w:color w:val="002060"/>
            <w:u w:val="single"/>
          </w:rPr>
          <w:t>HR.Assist@ag.gov.au</w:t>
        </w:r>
      </w:hyperlink>
      <w:r w:rsidRPr="00D646AC">
        <w:rPr>
          <w:rFonts w:cs="Times New Roman"/>
          <w:color w:val="595959"/>
        </w:rPr>
        <w:t xml:space="preserve"> </w:t>
      </w:r>
      <w:r w:rsidRPr="009410DB">
        <w:rPr>
          <w:rFonts w:cs="Times New Roman"/>
        </w:rPr>
        <w:t xml:space="preserve">or phone (02) 6141 6111. </w:t>
      </w:r>
    </w:p>
    <w:p w14:paraId="5F4A0E9F" w14:textId="77777777" w:rsidR="000403BF" w:rsidRPr="009410DB" w:rsidRDefault="000403BF" w:rsidP="00FC5039">
      <w:pPr>
        <w:rPr>
          <w:rFonts w:cs="Times New Roman"/>
          <w:b/>
        </w:rPr>
      </w:pPr>
      <w:r w:rsidRPr="009410DB">
        <w:rPr>
          <w:rFonts w:cs="Times New Roman"/>
          <w:b/>
        </w:rPr>
        <w:t xml:space="preserve">For further information about the role please contact: </w:t>
      </w:r>
    </w:p>
    <w:p w14:paraId="371FC7F3" w14:textId="49EE33D9" w:rsidR="000403BF" w:rsidRPr="00EF4618" w:rsidRDefault="000403BF" w:rsidP="000403BF">
      <w:pPr>
        <w:pBdr>
          <w:top w:val="single" w:sz="8" w:space="1" w:color="auto"/>
          <w:left w:val="single" w:sz="8" w:space="4" w:color="auto"/>
          <w:bottom w:val="single" w:sz="8" w:space="1" w:color="auto"/>
          <w:right w:val="single" w:sz="8" w:space="4" w:color="auto"/>
          <w:between w:val="single" w:sz="8" w:space="1" w:color="auto"/>
        </w:pBdr>
        <w:rPr>
          <w:rFonts w:cs="Times New Roman"/>
          <w:b/>
        </w:rPr>
      </w:pPr>
      <w:r w:rsidRPr="00EF4618">
        <w:rPr>
          <w:rFonts w:cs="Times New Roman"/>
          <w:b/>
        </w:rPr>
        <w:t xml:space="preserve">Name: </w:t>
      </w:r>
      <w:r w:rsidR="00CB52BE">
        <w:rPr>
          <w:rFonts w:cs="Times New Roman"/>
          <w:b/>
        </w:rPr>
        <w:t>Andrew Shepherd</w:t>
      </w:r>
    </w:p>
    <w:p w14:paraId="5946751D" w14:textId="1304E242" w:rsidR="000403BF" w:rsidRPr="00EF4618" w:rsidRDefault="000403BF" w:rsidP="000403BF">
      <w:pPr>
        <w:pBdr>
          <w:top w:val="single" w:sz="8" w:space="1" w:color="auto"/>
          <w:left w:val="single" w:sz="8" w:space="4" w:color="auto"/>
          <w:bottom w:val="single" w:sz="8" w:space="1" w:color="auto"/>
          <w:right w:val="single" w:sz="8" w:space="4" w:color="auto"/>
          <w:between w:val="single" w:sz="8" w:space="1" w:color="auto"/>
        </w:pBdr>
        <w:rPr>
          <w:rFonts w:cs="Times New Roman"/>
          <w:b/>
        </w:rPr>
      </w:pPr>
      <w:r w:rsidRPr="00EF4618">
        <w:rPr>
          <w:rFonts w:cs="Times New Roman"/>
          <w:b/>
        </w:rPr>
        <w:t xml:space="preserve">Email: </w:t>
      </w:r>
      <w:hyperlink r:id="rId15" w:history="1">
        <w:r w:rsidR="00CB52BE" w:rsidRPr="00351933">
          <w:rPr>
            <w:rStyle w:val="Hyperlink"/>
            <w:rFonts w:cs="Times New Roman"/>
            <w:b/>
            <w:sz w:val="22"/>
            <w:szCs w:val="22"/>
          </w:rPr>
          <w:t>andrew.shepherd@ag.gov.au</w:t>
        </w:r>
      </w:hyperlink>
      <w:r w:rsidR="00541B52" w:rsidRPr="00EF4618">
        <w:rPr>
          <w:rFonts w:cs="Times New Roman"/>
          <w:b/>
        </w:rPr>
        <w:tab/>
      </w:r>
    </w:p>
    <w:p w14:paraId="7F07D071" w14:textId="64ED0334" w:rsidR="000403BF" w:rsidRPr="00EF4618" w:rsidRDefault="000403BF" w:rsidP="000403BF">
      <w:pPr>
        <w:pBdr>
          <w:top w:val="single" w:sz="8" w:space="1" w:color="auto"/>
          <w:left w:val="single" w:sz="8" w:space="4" w:color="auto"/>
          <w:bottom w:val="single" w:sz="8" w:space="1" w:color="auto"/>
          <w:right w:val="single" w:sz="8" w:space="4" w:color="auto"/>
          <w:between w:val="single" w:sz="8" w:space="1" w:color="auto"/>
        </w:pBdr>
        <w:rPr>
          <w:rFonts w:cs="Times New Roman"/>
          <w:b/>
        </w:rPr>
      </w:pPr>
      <w:r w:rsidRPr="00EF4618">
        <w:rPr>
          <w:rFonts w:cs="Times New Roman"/>
          <w:b/>
        </w:rPr>
        <w:t xml:space="preserve">Phone: </w:t>
      </w:r>
      <w:r w:rsidR="00541B52" w:rsidRPr="00EF4618">
        <w:rPr>
          <w:rFonts w:cs="Times New Roman"/>
          <w:b/>
        </w:rPr>
        <w:t xml:space="preserve">02 6141 </w:t>
      </w:r>
      <w:r w:rsidR="00CB52BE">
        <w:rPr>
          <w:rFonts w:cs="Times New Roman"/>
          <w:b/>
        </w:rPr>
        <w:t>2951</w:t>
      </w:r>
    </w:p>
    <w:p w14:paraId="69D4895E" w14:textId="6856CC6B" w:rsidR="000403BF" w:rsidRPr="00EF4618" w:rsidRDefault="000403BF" w:rsidP="000403BF">
      <w:pPr>
        <w:rPr>
          <w:rFonts w:cs="Times New Roman"/>
        </w:rPr>
      </w:pPr>
      <w:r w:rsidRPr="00EF4618">
        <w:rPr>
          <w:rFonts w:cs="Times New Roman"/>
          <w:b/>
        </w:rPr>
        <w:lastRenderedPageBreak/>
        <w:t>Application close at</w:t>
      </w:r>
      <w:r w:rsidRPr="00EF4618">
        <w:rPr>
          <w:rFonts w:cs="Times New Roman"/>
        </w:rPr>
        <w:t xml:space="preserve"> </w:t>
      </w:r>
      <w:r w:rsidR="00BE3359" w:rsidRPr="00EF4618">
        <w:rPr>
          <w:rFonts w:cs="Times New Roman"/>
          <w:b/>
        </w:rPr>
        <w:t>11:30</w:t>
      </w:r>
      <w:r w:rsidRPr="00EF4618">
        <w:rPr>
          <w:rFonts w:cs="Times New Roman"/>
          <w:b/>
        </w:rPr>
        <w:t>pm AE</w:t>
      </w:r>
      <w:r w:rsidR="00F83C9F" w:rsidRPr="00EF4618">
        <w:rPr>
          <w:rFonts w:cs="Times New Roman"/>
          <w:b/>
        </w:rPr>
        <w:t>S</w:t>
      </w:r>
      <w:r w:rsidRPr="00EF4618">
        <w:rPr>
          <w:rFonts w:cs="Times New Roman"/>
          <w:b/>
        </w:rPr>
        <w:t>T on</w:t>
      </w:r>
      <w:r w:rsidRPr="00EF4618">
        <w:rPr>
          <w:rFonts w:cs="Times New Roman"/>
        </w:rPr>
        <w:t xml:space="preserve"> </w:t>
      </w:r>
      <w:r w:rsidR="00C85A16">
        <w:rPr>
          <w:rFonts w:cs="Times New Roman"/>
          <w:b/>
        </w:rPr>
        <w:t>Thursday 18 August 2022.</w:t>
      </w:r>
    </w:p>
    <w:p w14:paraId="19A6C0FB" w14:textId="77777777" w:rsidR="000403BF" w:rsidRPr="00EF4618" w:rsidRDefault="000403BF" w:rsidP="000403BF">
      <w:pPr>
        <w:pStyle w:val="ListParagraph"/>
        <w:spacing w:after="0"/>
        <w:ind w:left="0"/>
        <w:rPr>
          <w:sz w:val="22"/>
          <w:szCs w:val="22"/>
        </w:rPr>
      </w:pPr>
      <w:r w:rsidRPr="00EF4618">
        <w:rPr>
          <w:sz w:val="22"/>
          <w:szCs w:val="22"/>
        </w:rPr>
        <w:t>As part of your application you will need to provide:</w:t>
      </w:r>
    </w:p>
    <w:p w14:paraId="2D460AE4" w14:textId="77777777" w:rsidR="000403BF" w:rsidRPr="00EF4618" w:rsidRDefault="000403BF" w:rsidP="000403BF">
      <w:pPr>
        <w:pStyle w:val="ListParagraph"/>
        <w:numPr>
          <w:ilvl w:val="0"/>
          <w:numId w:val="4"/>
        </w:numPr>
        <w:spacing w:after="0"/>
        <w:rPr>
          <w:sz w:val="22"/>
          <w:szCs w:val="22"/>
        </w:rPr>
      </w:pPr>
      <w:r w:rsidRPr="00EF4618">
        <w:rPr>
          <w:sz w:val="22"/>
          <w:szCs w:val="22"/>
        </w:rPr>
        <w:t>your current résumé</w:t>
      </w:r>
    </w:p>
    <w:p w14:paraId="731C9F06" w14:textId="77777777" w:rsidR="000403BF" w:rsidRPr="00EF4618" w:rsidRDefault="000403BF" w:rsidP="000403BF">
      <w:pPr>
        <w:pStyle w:val="ListParagraph"/>
        <w:numPr>
          <w:ilvl w:val="0"/>
          <w:numId w:val="4"/>
        </w:numPr>
        <w:spacing w:after="120"/>
        <w:ind w:left="714" w:hanging="357"/>
        <w:rPr>
          <w:color w:val="595959"/>
          <w:sz w:val="22"/>
          <w:szCs w:val="22"/>
        </w:rPr>
      </w:pPr>
      <w:r w:rsidRPr="00EF4618">
        <w:rPr>
          <w:sz w:val="22"/>
          <w:szCs w:val="22"/>
        </w:rPr>
        <w:t>a statement of claims (max. 750 words) describing how you meet the</w:t>
      </w:r>
      <w:r w:rsidRPr="00EF4618">
        <w:rPr>
          <w:color w:val="595959"/>
          <w:sz w:val="22"/>
          <w:szCs w:val="22"/>
        </w:rPr>
        <w:t xml:space="preserve"> </w:t>
      </w:r>
      <w:hyperlink r:id="rId16" w:history="1">
        <w:r w:rsidRPr="00EF4618">
          <w:rPr>
            <w:rFonts w:eastAsia="Calibri"/>
            <w:color w:val="002060"/>
            <w:sz w:val="22"/>
            <w:szCs w:val="22"/>
            <w:u w:val="single"/>
            <w:lang w:eastAsia="en-US"/>
          </w:rPr>
          <w:t>AGD Performance Expectations</w:t>
        </w:r>
      </w:hyperlink>
      <w:r w:rsidRPr="00EF4618">
        <w:rPr>
          <w:rFonts w:eastAsia="Calibri"/>
          <w:color w:val="002060"/>
          <w:sz w:val="22"/>
          <w:szCs w:val="22"/>
          <w:u w:val="single"/>
          <w:lang w:eastAsia="en-US"/>
        </w:rPr>
        <w:t>.</w:t>
      </w:r>
      <w:r w:rsidRPr="00EF4618">
        <w:rPr>
          <w:color w:val="595959"/>
          <w:sz w:val="22"/>
          <w:szCs w:val="22"/>
        </w:rPr>
        <w:t xml:space="preserve"> </w:t>
      </w:r>
    </w:p>
    <w:p w14:paraId="2C0D8CFC" w14:textId="77777777" w:rsidR="000403BF" w:rsidRPr="00EF4618" w:rsidRDefault="000403BF" w:rsidP="000403BF">
      <w:pPr>
        <w:pStyle w:val="ListParagraph"/>
        <w:numPr>
          <w:ilvl w:val="0"/>
          <w:numId w:val="4"/>
        </w:numPr>
        <w:spacing w:after="120"/>
        <w:ind w:left="714" w:hanging="357"/>
        <w:rPr>
          <w:sz w:val="22"/>
          <w:szCs w:val="22"/>
        </w:rPr>
      </w:pPr>
      <w:r w:rsidRPr="00EF4618">
        <w:rPr>
          <w:sz w:val="22"/>
          <w:szCs w:val="22"/>
        </w:rPr>
        <w:t>the names and contact details of two referees, one of whom should be a current supervisor.</w:t>
      </w:r>
    </w:p>
    <w:p w14:paraId="1EE6774A" w14:textId="77777777" w:rsidR="006B636B" w:rsidRPr="009410DB" w:rsidRDefault="006B636B" w:rsidP="006B636B">
      <w:pPr>
        <w:spacing w:after="120"/>
        <w:rPr>
          <w:rFonts w:cs="Times New Roman"/>
        </w:rPr>
      </w:pPr>
      <w:r w:rsidRPr="009410DB">
        <w:rPr>
          <w:rFonts w:cs="Times New Roman"/>
        </w:rPr>
        <w:t xml:space="preserve">If you have any questions regarding the recruitment process or require any reasonable adjustments, please speak to HR Assist on </w:t>
      </w:r>
      <w:hyperlink r:id="rId17" w:history="1">
        <w:r w:rsidRPr="00D646AC">
          <w:rPr>
            <w:rFonts w:cs="Times New Roman"/>
            <w:color w:val="002060"/>
            <w:u w:val="single"/>
          </w:rPr>
          <w:t>HR.Assist@ag.gov.au</w:t>
        </w:r>
      </w:hyperlink>
      <w:r w:rsidRPr="00D646AC">
        <w:rPr>
          <w:rFonts w:cs="Times New Roman"/>
          <w:color w:val="595959"/>
        </w:rPr>
        <w:t xml:space="preserve"> </w:t>
      </w:r>
      <w:r w:rsidRPr="009410DB">
        <w:rPr>
          <w:rFonts w:cs="Times New Roman"/>
        </w:rPr>
        <w:t xml:space="preserve">or phone (02) 6141 6111 (Option 2). </w:t>
      </w:r>
    </w:p>
    <w:p w14:paraId="0A7B2043" w14:textId="77777777" w:rsidR="000403BF" w:rsidRPr="00F071B0" w:rsidRDefault="000403BF" w:rsidP="000403BF">
      <w:pPr>
        <w:pStyle w:val="Heading2"/>
        <w:pBdr>
          <w:bottom w:val="single" w:sz="24" w:space="1" w:color="50748A"/>
        </w:pBdr>
        <w:rPr>
          <w:sz w:val="28"/>
        </w:rPr>
      </w:pPr>
      <w:r w:rsidRPr="009B5F45">
        <w:rPr>
          <w:sz w:val="28"/>
        </w:rPr>
        <w:t>How to prepare your statement of claims</w:t>
      </w:r>
    </w:p>
    <w:p w14:paraId="30915DAB" w14:textId="77777777" w:rsidR="000403BF" w:rsidRPr="00196AD8" w:rsidRDefault="000403BF" w:rsidP="000403BF">
      <w:pPr>
        <w:rPr>
          <w:rFonts w:cs="Times New Roman"/>
        </w:rPr>
      </w:pPr>
      <w:r w:rsidRPr="00196AD8">
        <w:rPr>
          <w:rFonts w:cs="Times New Roman"/>
        </w:rPr>
        <w:t xml:space="preserve">Your statement should be succinct and showcase your skills, knowledge, experience and qualifications. We want to understand how your personal attributes can add value to a role within the department. </w:t>
      </w:r>
    </w:p>
    <w:p w14:paraId="53C32CDB" w14:textId="77777777" w:rsidR="000403BF" w:rsidRPr="00196AD8" w:rsidRDefault="000403BF" w:rsidP="000403BF">
      <w:pPr>
        <w:rPr>
          <w:rFonts w:cs="Times New Roman"/>
        </w:rPr>
      </w:pPr>
      <w:r w:rsidRPr="00196AD8">
        <w:rPr>
          <w:rFonts w:cs="Times New Roman"/>
        </w:rPr>
        <w:t>You should ensure examples relate to the</w:t>
      </w:r>
      <w:r w:rsidRPr="00D646AC">
        <w:rPr>
          <w:rFonts w:cs="Times New Roman"/>
          <w:color w:val="595959"/>
        </w:rPr>
        <w:t xml:space="preserve"> </w:t>
      </w:r>
      <w:hyperlink r:id="rId18" w:history="1">
        <w:r w:rsidRPr="009B5F45">
          <w:rPr>
            <w:rFonts w:cs="Times New Roman"/>
            <w:color w:val="002060"/>
            <w:u w:val="single"/>
          </w:rPr>
          <w:t>AGD Performance Expectations</w:t>
        </w:r>
      </w:hyperlink>
      <w:r w:rsidRPr="00196AD8">
        <w:rPr>
          <w:rFonts w:cs="Times New Roman"/>
        </w:rPr>
        <w:t>.</w:t>
      </w:r>
    </w:p>
    <w:p w14:paraId="019CAF32" w14:textId="77777777" w:rsidR="000403BF" w:rsidRPr="00196AD8" w:rsidRDefault="000403BF" w:rsidP="000403BF">
      <w:pPr>
        <w:rPr>
          <w:rFonts w:cs="Times New Roman"/>
        </w:rPr>
      </w:pPr>
      <w:r w:rsidRPr="00196AD8">
        <w:rPr>
          <w:rFonts w:cs="Times New Roman"/>
        </w:rPr>
        <w:t>This is your opportunity to provide examples that tell us how you have used your skills. While it is preferred that work examples are used in your statement, you can also use examples from study or community experiences.</w:t>
      </w:r>
    </w:p>
    <w:p w14:paraId="72F9B846" w14:textId="77777777" w:rsidR="000403BF" w:rsidRPr="00196AD8" w:rsidRDefault="000403BF" w:rsidP="000403BF">
      <w:pPr>
        <w:rPr>
          <w:rFonts w:cs="Times New Roman"/>
        </w:rPr>
      </w:pPr>
      <w:r w:rsidRPr="00196AD8">
        <w:rPr>
          <w:rFonts w:cs="Times New Roman"/>
        </w:rPr>
        <w:t>When you include an example, you should clearly explain:</w:t>
      </w:r>
    </w:p>
    <w:p w14:paraId="711F4E96" w14:textId="77777777"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the situation or problem</w:t>
      </w:r>
    </w:p>
    <w:p w14:paraId="5916D14B" w14:textId="77777777"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your personal role in the task</w:t>
      </w:r>
    </w:p>
    <w:p w14:paraId="5B680D60" w14:textId="77777777"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the methods you used</w:t>
      </w:r>
    </w:p>
    <w:p w14:paraId="41D601A1" w14:textId="77777777"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any barriers you were able to overcome</w:t>
      </w:r>
    </w:p>
    <w:p w14:paraId="4A094A97" w14:textId="77777777" w:rsidR="000403BF" w:rsidRPr="00196AD8" w:rsidRDefault="000403BF"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sidRPr="00196AD8">
        <w:rPr>
          <w:rFonts w:eastAsia="Calibri"/>
          <w:sz w:val="22"/>
          <w:szCs w:val="22"/>
          <w:lang w:eastAsia="en-US"/>
        </w:rPr>
        <w:t>the outcome.</w:t>
      </w:r>
    </w:p>
    <w:p w14:paraId="617F592C" w14:textId="77777777" w:rsidR="000403BF" w:rsidRPr="008B5E09" w:rsidRDefault="000403BF" w:rsidP="000403BF">
      <w:pPr>
        <w:rPr>
          <w:rFonts w:cs="Times New Roman"/>
        </w:rPr>
      </w:pPr>
      <w:r w:rsidRPr="008B5E09">
        <w:rPr>
          <w:rFonts w:cs="Times New Roman"/>
        </w:rPr>
        <w:t>Other tips include:</w:t>
      </w:r>
    </w:p>
    <w:p w14:paraId="6D8CD069" w14:textId="77777777" w:rsidR="000403BF" w:rsidRPr="00FB2BD9" w:rsidRDefault="00024D7D" w:rsidP="000403BF">
      <w:pPr>
        <w:pStyle w:val="ListParagraph"/>
        <w:numPr>
          <w:ilvl w:val="0"/>
          <w:numId w:val="3"/>
        </w:numPr>
        <w:shd w:val="clear" w:color="auto" w:fill="FFFFFF"/>
        <w:spacing w:before="0"/>
        <w:ind w:left="714" w:hanging="357"/>
        <w:textAlignment w:val="top"/>
        <w:rPr>
          <w:rFonts w:eastAsia="Calibri"/>
          <w:color w:val="595959"/>
          <w:sz w:val="22"/>
          <w:szCs w:val="22"/>
          <w:lang w:eastAsia="en-US"/>
        </w:rPr>
      </w:pPr>
      <w:r>
        <w:rPr>
          <w:rFonts w:eastAsia="Calibri"/>
          <w:sz w:val="22"/>
          <w:szCs w:val="22"/>
          <w:lang w:eastAsia="en-US"/>
        </w:rPr>
        <w:t>E</w:t>
      </w:r>
      <w:r w:rsidR="000403BF" w:rsidRPr="008B5E09">
        <w:rPr>
          <w:rFonts w:eastAsia="Calibri"/>
          <w:sz w:val="22"/>
          <w:szCs w:val="22"/>
          <w:lang w:eastAsia="en-US"/>
        </w:rPr>
        <w:t xml:space="preserve">nsure examples relate to the </w:t>
      </w:r>
      <w:hyperlink r:id="rId19" w:history="1">
        <w:hyperlink r:id="rId20" w:history="1">
          <w:r w:rsidR="000403BF" w:rsidRPr="00FA6A2A">
            <w:rPr>
              <w:rFonts w:eastAsia="Calibri"/>
              <w:color w:val="002060"/>
              <w:sz w:val="22"/>
              <w:szCs w:val="22"/>
              <w:u w:val="single"/>
              <w:lang w:eastAsia="en-US"/>
            </w:rPr>
            <w:t>AGD Performance Expectations</w:t>
          </w:r>
        </w:hyperlink>
      </w:hyperlink>
      <w:r>
        <w:rPr>
          <w:rFonts w:eastAsia="Calibri"/>
          <w:color w:val="002060"/>
          <w:sz w:val="22"/>
          <w:szCs w:val="22"/>
          <w:u w:val="single"/>
          <w:lang w:eastAsia="en-US"/>
        </w:rPr>
        <w:t>.</w:t>
      </w:r>
    </w:p>
    <w:p w14:paraId="4E244DC5" w14:textId="77777777" w:rsidR="000403BF" w:rsidRPr="008B5E09" w:rsidRDefault="00024D7D"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Pr>
          <w:rFonts w:eastAsia="Calibri"/>
          <w:sz w:val="22"/>
          <w:szCs w:val="22"/>
          <w:lang w:eastAsia="en-US"/>
        </w:rPr>
        <w:t>U</w:t>
      </w:r>
      <w:r w:rsidR="000403BF" w:rsidRPr="008B5E09">
        <w:rPr>
          <w:rFonts w:eastAsia="Calibri"/>
          <w:sz w:val="22"/>
          <w:szCs w:val="22"/>
          <w:lang w:eastAsia="en-US"/>
        </w:rPr>
        <w:t>se active language such as ‘I lead…’ or ‘I developed…’ rather than ‘my team…’</w:t>
      </w:r>
    </w:p>
    <w:p w14:paraId="61C861B2" w14:textId="77777777" w:rsidR="000403BF" w:rsidRPr="008B5E09" w:rsidRDefault="00024D7D"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Pr>
          <w:rFonts w:eastAsia="Calibri"/>
          <w:sz w:val="22"/>
          <w:szCs w:val="22"/>
          <w:lang w:eastAsia="en-US"/>
        </w:rPr>
        <w:t>A</w:t>
      </w:r>
      <w:r w:rsidR="000403BF" w:rsidRPr="008B5E09">
        <w:rPr>
          <w:rFonts w:eastAsia="Calibri"/>
          <w:sz w:val="22"/>
          <w:szCs w:val="22"/>
          <w:lang w:eastAsia="en-US"/>
        </w:rPr>
        <w:t>lways back up your claims. For example, instead of writing ‘ I have excellent negotiation skills’, write ‘I demonstrated excellent negotiation skills when I …’</w:t>
      </w:r>
    </w:p>
    <w:p w14:paraId="5F58CF6A" w14:textId="77777777" w:rsidR="000403BF" w:rsidRPr="008B5E09" w:rsidRDefault="00024D7D" w:rsidP="000403BF">
      <w:pPr>
        <w:pStyle w:val="ListParagraph"/>
        <w:numPr>
          <w:ilvl w:val="0"/>
          <w:numId w:val="3"/>
        </w:numPr>
        <w:shd w:val="clear" w:color="auto" w:fill="FFFFFF"/>
        <w:spacing w:before="0"/>
        <w:ind w:left="714" w:hanging="357"/>
        <w:textAlignment w:val="top"/>
        <w:rPr>
          <w:rFonts w:eastAsia="Calibri"/>
          <w:sz w:val="22"/>
          <w:szCs w:val="22"/>
          <w:lang w:eastAsia="en-US"/>
        </w:rPr>
      </w:pPr>
      <w:r>
        <w:rPr>
          <w:rFonts w:eastAsia="Calibri"/>
          <w:sz w:val="22"/>
          <w:szCs w:val="22"/>
          <w:lang w:eastAsia="en-US"/>
        </w:rPr>
        <w:t>Y</w:t>
      </w:r>
      <w:r w:rsidR="000403BF" w:rsidRPr="008B5E09">
        <w:rPr>
          <w:rFonts w:eastAsia="Calibri"/>
          <w:sz w:val="22"/>
          <w:szCs w:val="22"/>
          <w:lang w:eastAsia="en-US"/>
        </w:rPr>
        <w:t>ou may wish to include why you want to work in the department</w:t>
      </w:r>
      <w:r>
        <w:rPr>
          <w:rFonts w:eastAsia="Calibri"/>
          <w:sz w:val="22"/>
          <w:szCs w:val="22"/>
          <w:lang w:eastAsia="en-US"/>
        </w:rPr>
        <w:t>.</w:t>
      </w:r>
    </w:p>
    <w:p w14:paraId="6D1A08F8" w14:textId="77777777" w:rsidR="000403BF" w:rsidRPr="008B5E09" w:rsidRDefault="000403BF" w:rsidP="000403BF">
      <w:pPr>
        <w:spacing w:after="120"/>
        <w:rPr>
          <w:rFonts w:cs="Times New Roman"/>
        </w:rPr>
      </w:pPr>
      <w:r w:rsidRPr="008B5E09">
        <w:rPr>
          <w:rFonts w:cs="Times New Roman"/>
        </w:rPr>
        <w:t>You will need to attach a résumé to your application prior to submitting. Your résumé should not be more than three pages.</w:t>
      </w:r>
    </w:p>
    <w:p w14:paraId="1AD70EC7" w14:textId="77777777" w:rsidR="000403BF" w:rsidRPr="00F071B0" w:rsidRDefault="000403BF" w:rsidP="000403BF">
      <w:pPr>
        <w:pStyle w:val="Heading2"/>
        <w:pBdr>
          <w:bottom w:val="single" w:sz="24" w:space="1" w:color="50748A"/>
        </w:pBdr>
        <w:rPr>
          <w:sz w:val="28"/>
        </w:rPr>
      </w:pPr>
      <w:r w:rsidRPr="009B5F45">
        <w:rPr>
          <w:sz w:val="28"/>
        </w:rPr>
        <w:t>RecruitAbility scheme</w:t>
      </w:r>
    </w:p>
    <w:p w14:paraId="475EA55C" w14:textId="77777777" w:rsidR="000403BF" w:rsidRPr="006646ED" w:rsidRDefault="000403BF" w:rsidP="000403BF">
      <w:pPr>
        <w:spacing w:after="120" w:line="240" w:lineRule="auto"/>
        <w:rPr>
          <w:rFonts w:cs="Times New Roman"/>
        </w:rPr>
      </w:pPr>
      <w:r w:rsidRPr="006646ED">
        <w:rPr>
          <w:rFonts w:cs="Times New Roman"/>
        </w:rPr>
        <w:t>The</w:t>
      </w:r>
      <w:r w:rsidRPr="006646ED">
        <w:rPr>
          <w:rFonts w:cs="Times New Roman"/>
          <w:b/>
        </w:rPr>
        <w:t xml:space="preserve"> RecruitAbility</w:t>
      </w:r>
      <w:r w:rsidRPr="006646ED">
        <w:rPr>
          <w:rFonts w:cs="Times New Roman"/>
        </w:rPr>
        <w:t xml:space="preserve"> scheme applies to this vacancy. The Attorney-General’s Department is committed to supporting the employment and career development of people with disability. </w:t>
      </w:r>
    </w:p>
    <w:p w14:paraId="14FA95B0" w14:textId="77777777" w:rsidR="000403BF" w:rsidRPr="006646ED" w:rsidRDefault="000403BF" w:rsidP="000403BF">
      <w:pPr>
        <w:spacing w:after="120" w:line="240" w:lineRule="auto"/>
        <w:rPr>
          <w:rFonts w:cs="Times New Roman"/>
        </w:rPr>
      </w:pPr>
      <w:r w:rsidRPr="006646ED">
        <w:rPr>
          <w:rFonts w:cs="Times New Roman"/>
        </w:rPr>
        <w:t xml:space="preserve">Our participation in the APS RecruitAbility scheme means we will progress an applicant with disability to a further stage in the recruitment process, where they opt into the scheme and meet the minimum requirements. </w:t>
      </w:r>
    </w:p>
    <w:p w14:paraId="6C4D3D8D" w14:textId="77777777" w:rsidR="000403BF" w:rsidRDefault="000403BF" w:rsidP="000403BF">
      <w:pPr>
        <w:pStyle w:val="Default"/>
        <w:spacing w:before="120"/>
        <w:rPr>
          <w:rFonts w:eastAsia="SimSun"/>
          <w:sz w:val="21"/>
          <w:szCs w:val="21"/>
          <w:u w:val="single"/>
          <w:lang w:eastAsia="zh-CN"/>
        </w:rPr>
      </w:pPr>
      <w:r w:rsidRPr="006646ED">
        <w:rPr>
          <w:rFonts w:eastAsia="Calibri" w:cs="Times New Roman"/>
          <w:color w:val="auto"/>
          <w:sz w:val="22"/>
          <w:szCs w:val="22"/>
          <w:lang w:eastAsia="en-US"/>
        </w:rPr>
        <w:t>For more information on the RecruitAbility scheme please follow this link:</w:t>
      </w:r>
      <w:hyperlink r:id="rId21" w:history="1">
        <w:r w:rsidRPr="0059687A">
          <w:rPr>
            <w:rStyle w:val="Hyperlink"/>
            <w:rFonts w:eastAsia="SimSun"/>
            <w:sz w:val="21"/>
            <w:szCs w:val="21"/>
            <w:lang w:eastAsia="zh-CN"/>
          </w:rPr>
          <w:t xml:space="preserve"> </w:t>
        </w:r>
        <w:hyperlink r:id="rId22" w:history="1">
          <w:r>
            <w:rPr>
              <w:rFonts w:eastAsia="Calibri" w:cs="Times New Roman"/>
              <w:color w:val="002060"/>
              <w:sz w:val="22"/>
              <w:szCs w:val="22"/>
              <w:u w:val="single"/>
              <w:lang w:eastAsia="en-US"/>
            </w:rPr>
            <w:t>APSC Recru</w:t>
          </w:r>
          <w:r w:rsidR="00792223">
            <w:rPr>
              <w:rFonts w:eastAsia="Calibri" w:cs="Times New Roman"/>
              <w:color w:val="002060"/>
              <w:sz w:val="22"/>
              <w:szCs w:val="22"/>
              <w:u w:val="single"/>
              <w:lang w:eastAsia="en-US"/>
            </w:rPr>
            <w:t xml:space="preserve">itability </w:t>
          </w:r>
          <w:r>
            <w:rPr>
              <w:rFonts w:eastAsia="Calibri" w:cs="Times New Roman"/>
              <w:color w:val="002060"/>
              <w:sz w:val="22"/>
              <w:szCs w:val="22"/>
              <w:u w:val="single"/>
              <w:lang w:eastAsia="en-US"/>
            </w:rPr>
            <w:t>scheme guide applicants</w:t>
          </w:r>
        </w:hyperlink>
      </w:hyperlink>
      <w:r w:rsidR="006646ED">
        <w:rPr>
          <w:rFonts w:eastAsia="Calibri" w:cs="Times New Roman"/>
          <w:color w:val="002060"/>
          <w:sz w:val="22"/>
          <w:szCs w:val="22"/>
          <w:u w:val="single"/>
          <w:lang w:eastAsia="en-US"/>
        </w:rPr>
        <w:t>.</w:t>
      </w:r>
    </w:p>
    <w:p w14:paraId="6A3F4866" w14:textId="77777777" w:rsidR="000403BF" w:rsidRPr="00252957" w:rsidRDefault="000403BF" w:rsidP="000403BF">
      <w:pPr>
        <w:pStyle w:val="Default"/>
        <w:spacing w:before="120"/>
        <w:rPr>
          <w:rFonts w:eastAsia="SimSun"/>
          <w:sz w:val="21"/>
          <w:szCs w:val="21"/>
          <w:lang w:eastAsia="zh-CN"/>
        </w:rPr>
      </w:pPr>
      <w:r>
        <w:rPr>
          <w:rFonts w:eastAsia="SimSun"/>
          <w:noProof/>
          <w:sz w:val="21"/>
          <w:szCs w:val="21"/>
        </w:rPr>
        <w:lastRenderedPageBreak/>
        <w:drawing>
          <wp:inline distT="0" distB="0" distL="0" distR="0" wp14:anchorId="082C20C1" wp14:editId="1FF13EFE">
            <wp:extent cx="2343150" cy="1038225"/>
            <wp:effectExtent l="0" t="0" r="0" b="9525"/>
            <wp:docPr id="2" name="Picture 2" descr="This is an image of the recuritability logo" title="Recruitabil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3150" cy="1038225"/>
                    </a:xfrm>
                    <a:prstGeom prst="rect">
                      <a:avLst/>
                    </a:prstGeom>
                    <a:noFill/>
                    <a:ln>
                      <a:noFill/>
                    </a:ln>
                  </pic:spPr>
                </pic:pic>
              </a:graphicData>
            </a:graphic>
          </wp:inline>
        </w:drawing>
      </w:r>
    </w:p>
    <w:p w14:paraId="18C96CC4" w14:textId="77777777" w:rsidR="000403BF" w:rsidRPr="00F071B0" w:rsidRDefault="000403BF" w:rsidP="000403BF">
      <w:pPr>
        <w:pStyle w:val="Heading2"/>
        <w:pBdr>
          <w:bottom w:val="single" w:sz="24" w:space="1" w:color="50748A"/>
        </w:pBdr>
        <w:rPr>
          <w:sz w:val="28"/>
        </w:rPr>
      </w:pPr>
      <w:r w:rsidRPr="009B5F45">
        <w:rPr>
          <w:sz w:val="28"/>
        </w:rPr>
        <w:t xml:space="preserve">Offers and the merit pool </w:t>
      </w:r>
    </w:p>
    <w:p w14:paraId="025E4A69" w14:textId="77777777" w:rsidR="000403BF" w:rsidRPr="00184C79" w:rsidRDefault="000403BF" w:rsidP="000403BF">
      <w:pPr>
        <w:rPr>
          <w:rFonts w:cs="Times New Roman"/>
        </w:rPr>
      </w:pPr>
      <w:r w:rsidRPr="00184C79">
        <w:rPr>
          <w:rFonts w:cs="Times New Roman"/>
        </w:rPr>
        <w:t>At the end of the recruitment process, a merit pool of suitable candidates will be created. Those found suitable will be advised that they have been placed in the pool. This is not an offer of employment and not all candidates selected for inclusion in the merit pool may ultimately receive an offer of employment.</w:t>
      </w:r>
    </w:p>
    <w:p w14:paraId="76596240" w14:textId="77777777" w:rsidR="000403BF" w:rsidRPr="00184C79" w:rsidRDefault="0016383D" w:rsidP="000403BF">
      <w:pPr>
        <w:rPr>
          <w:rFonts w:cs="Times New Roman"/>
        </w:rPr>
      </w:pPr>
      <w:r>
        <w:rPr>
          <w:rFonts w:cs="Times New Roman"/>
        </w:rPr>
        <w:t>The merit pool is valid for 18</w:t>
      </w:r>
      <w:r w:rsidR="000403BF" w:rsidRPr="00184C79">
        <w:rPr>
          <w:rFonts w:cs="Times New Roman"/>
        </w:rPr>
        <w:t xml:space="preserve"> months from the date the process was advertised. The merit pool </w:t>
      </w:r>
      <w:r>
        <w:rPr>
          <w:rFonts w:cs="Times New Roman"/>
        </w:rPr>
        <w:t>will be used throughout the 18 months</w:t>
      </w:r>
      <w:r w:rsidR="000403BF" w:rsidRPr="00184C79">
        <w:rPr>
          <w:rFonts w:cs="Times New Roman"/>
        </w:rPr>
        <w:t xml:space="preserve"> to fill similar positions in the event positions become vacant. </w:t>
      </w:r>
    </w:p>
    <w:p w14:paraId="075FF0E4" w14:textId="77777777" w:rsidR="000403BF" w:rsidRPr="00F071B0" w:rsidRDefault="000403BF" w:rsidP="000403BF">
      <w:pPr>
        <w:pStyle w:val="Heading2"/>
        <w:pBdr>
          <w:bottom w:val="single" w:sz="24" w:space="1" w:color="50748A"/>
        </w:pBdr>
        <w:rPr>
          <w:sz w:val="28"/>
        </w:rPr>
      </w:pPr>
      <w:r w:rsidRPr="009B5F45">
        <w:rPr>
          <w:sz w:val="28"/>
        </w:rPr>
        <w:t>How we will communicate with you</w:t>
      </w:r>
    </w:p>
    <w:p w14:paraId="06A914C0" w14:textId="77777777" w:rsidR="000403BF" w:rsidRPr="00010338" w:rsidRDefault="000403BF" w:rsidP="000403BF">
      <w:pPr>
        <w:rPr>
          <w:rFonts w:cs="Times New Roman"/>
        </w:rPr>
      </w:pPr>
      <w:r w:rsidRPr="00010338">
        <w:rPr>
          <w:rFonts w:cs="Times New Roman"/>
        </w:rPr>
        <w:t xml:space="preserve">All advice and communication will be sent to applicants via email. Please ensure the email address you register with is correct as this will be used to provide you updates for all the vacancies you apply for. </w:t>
      </w:r>
    </w:p>
    <w:p w14:paraId="1F8DCCE3" w14:textId="77777777" w:rsidR="000403BF" w:rsidRPr="00010338" w:rsidRDefault="000403BF" w:rsidP="000403BF">
      <w:pPr>
        <w:rPr>
          <w:rFonts w:cs="Times New Roman"/>
        </w:rPr>
      </w:pPr>
      <w:r w:rsidRPr="00010338">
        <w:rPr>
          <w:rFonts w:cs="Times New Roman"/>
        </w:rPr>
        <w:t>We strongly recommend that you use a personal email address rather than your work email address to ensure you don’t miss updates and invitations to participate. Additionally, please regularly check your junk or spam folders for the same reason.</w:t>
      </w:r>
    </w:p>
    <w:p w14:paraId="1DF9F0B7" w14:textId="77777777" w:rsidR="000403BF" w:rsidRPr="00010338" w:rsidRDefault="000403BF" w:rsidP="000403BF">
      <w:pPr>
        <w:spacing w:after="0"/>
        <w:rPr>
          <w:rFonts w:cs="Times New Roman"/>
          <w:b/>
          <w:i/>
        </w:rPr>
      </w:pPr>
      <w:r w:rsidRPr="00010338">
        <w:rPr>
          <w:rFonts w:cs="Times New Roman"/>
          <w:b/>
          <w:i/>
        </w:rPr>
        <w:t>The recruitment process will not be modified to accommodate non-receipt of emails.</w:t>
      </w:r>
    </w:p>
    <w:p w14:paraId="18946490" w14:textId="77777777" w:rsidR="00734F5B" w:rsidRPr="00433791" w:rsidRDefault="00734F5B" w:rsidP="00734F5B">
      <w:pPr>
        <w:spacing w:after="0"/>
        <w:rPr>
          <w:b/>
          <w:color w:val="31849B"/>
        </w:rPr>
      </w:pPr>
      <w:r w:rsidRPr="00433791">
        <w:rPr>
          <w:noProof/>
          <w:lang w:val="en-AU" w:eastAsia="en-AU"/>
        </w:rPr>
        <w:drawing>
          <wp:inline distT="0" distB="0" distL="0" distR="0" wp14:anchorId="050A5691" wp14:editId="78A7A64E">
            <wp:extent cx="6472555" cy="1102876"/>
            <wp:effectExtent l="0" t="0" r="0" b="0"/>
            <wp:docPr id="3" name="Picture 3" descr="Logo: Australian Government crest, An Australian Government initiative, National Rela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2555" cy="1102876"/>
                    </a:xfrm>
                    <a:prstGeom prst="rect">
                      <a:avLst/>
                    </a:prstGeom>
                    <a:noFill/>
                  </pic:spPr>
                </pic:pic>
              </a:graphicData>
            </a:graphic>
          </wp:inline>
        </w:drawing>
      </w:r>
    </w:p>
    <w:p w14:paraId="0FE2B81D" w14:textId="77777777" w:rsidR="00734F5B" w:rsidRPr="00433791" w:rsidRDefault="00734F5B" w:rsidP="00734F5B">
      <w:pPr>
        <w:rPr>
          <w:b/>
        </w:rPr>
      </w:pPr>
      <w:r w:rsidRPr="00433791">
        <w:t xml:space="preserve">For help with making or receiving relay calls, contact the </w:t>
      </w:r>
      <w:r w:rsidRPr="00433791">
        <w:rPr>
          <w:b/>
        </w:rPr>
        <w:t>NRS Helpdesk:</w:t>
      </w:r>
    </w:p>
    <w:p w14:paraId="07BDF52C" w14:textId="77777777" w:rsidR="00734F5B" w:rsidRPr="00433791" w:rsidRDefault="00734F5B" w:rsidP="00734F5B">
      <w:pPr>
        <w:pStyle w:val="Bulletlevel1"/>
        <w:spacing w:line="276" w:lineRule="auto"/>
      </w:pPr>
      <w:r w:rsidRPr="00433791">
        <w:t>Phone:</w:t>
      </w:r>
      <w:r w:rsidRPr="00433791">
        <w:tab/>
        <w:t>1800 555 660</w:t>
      </w:r>
    </w:p>
    <w:p w14:paraId="1D735B26" w14:textId="77777777" w:rsidR="00734F5B" w:rsidRPr="00433791" w:rsidRDefault="00734F5B" w:rsidP="00734F5B">
      <w:pPr>
        <w:pStyle w:val="Bulletlevel1"/>
        <w:spacing w:line="276" w:lineRule="auto"/>
      </w:pPr>
      <w:r w:rsidRPr="00433791">
        <w:t xml:space="preserve">Fax: </w:t>
      </w:r>
      <w:r w:rsidRPr="00433791">
        <w:tab/>
        <w:t>1800 555 690</w:t>
      </w:r>
    </w:p>
    <w:p w14:paraId="6D7C8330" w14:textId="77777777" w:rsidR="00734F5B" w:rsidRPr="00433791" w:rsidRDefault="00734F5B" w:rsidP="00734F5B">
      <w:pPr>
        <w:pStyle w:val="Bulletlevel1"/>
        <w:spacing w:line="276" w:lineRule="auto"/>
      </w:pPr>
      <w:r w:rsidRPr="00433791">
        <w:t>SMS</w:t>
      </w:r>
      <w:r w:rsidRPr="00433791">
        <w:tab/>
        <w:t>0416 001 350</w:t>
      </w:r>
    </w:p>
    <w:p w14:paraId="5CC1C617" w14:textId="77777777" w:rsidR="00734F5B" w:rsidRPr="008B4A7D" w:rsidRDefault="00734F5B" w:rsidP="00734F5B">
      <w:pPr>
        <w:pStyle w:val="Bulletlevel1"/>
        <w:spacing w:line="276" w:lineRule="auto"/>
        <w:rPr>
          <w:u w:val="single"/>
        </w:rPr>
      </w:pPr>
      <w:r w:rsidRPr="00433791">
        <w:t>Email:</w:t>
      </w:r>
      <w:r w:rsidRPr="00433791">
        <w:tab/>
      </w:r>
      <w:hyperlink r:id="rId25" w:history="1">
        <w:r w:rsidRPr="008B4A7D">
          <w:rPr>
            <w:rStyle w:val="Hyperlink"/>
            <w:sz w:val="22"/>
            <w:szCs w:val="22"/>
            <w:u w:val="single"/>
          </w:rPr>
          <w:t>helpdesk@relayservice.com.au</w:t>
        </w:r>
      </w:hyperlink>
    </w:p>
    <w:p w14:paraId="10D951BA" w14:textId="77777777" w:rsidR="00734F5B" w:rsidRPr="00A21746" w:rsidRDefault="00734F5B" w:rsidP="00734F5B">
      <w:pPr>
        <w:pStyle w:val="Bulletlevel1"/>
        <w:spacing w:line="276" w:lineRule="auto"/>
      </w:pPr>
      <w:r w:rsidRPr="00A21746">
        <w:t>Online:</w:t>
      </w:r>
      <w:r w:rsidRPr="00A21746">
        <w:tab/>
      </w:r>
      <w:hyperlink r:id="rId26" w:history="1">
        <w:r w:rsidRPr="008B4A7D">
          <w:rPr>
            <w:rStyle w:val="Hyperlink"/>
            <w:sz w:val="22"/>
            <w:szCs w:val="22"/>
            <w:u w:val="single"/>
          </w:rPr>
          <w:t>Online form</w:t>
        </w:r>
      </w:hyperlink>
      <w:r w:rsidRPr="00A21746">
        <w:t>.</w:t>
      </w:r>
    </w:p>
    <w:p w14:paraId="7C20F939" w14:textId="77777777" w:rsidR="00734F5B" w:rsidRPr="00433791" w:rsidRDefault="00734F5B" w:rsidP="00734F5B">
      <w:pPr>
        <w:keepNext/>
        <w:rPr>
          <w:rFonts w:cs="Times New Roman"/>
          <w:color w:val="595959"/>
        </w:rPr>
      </w:pPr>
      <w:r w:rsidRPr="00433791">
        <w:rPr>
          <w:rFonts w:cs="Times New Roman"/>
          <w:color w:val="595959"/>
        </w:rPr>
        <w:t>T</w:t>
      </w:r>
      <w:r w:rsidRPr="008B4A7D">
        <w:rPr>
          <w:rFonts w:cs="Times New Roman"/>
        </w:rPr>
        <w:t>he NRS Helpdesk operates from 8 am to 6 pm, Eastern Standard Time.</w:t>
      </w:r>
    </w:p>
    <w:p w14:paraId="180609CD" w14:textId="77777777" w:rsidR="00734F5B" w:rsidRPr="00A21746" w:rsidRDefault="00734F5B" w:rsidP="000403BF">
      <w:pPr>
        <w:spacing w:after="0"/>
        <w:rPr>
          <w:b/>
          <w:color w:val="31849B"/>
        </w:rPr>
      </w:pPr>
      <w:r w:rsidRPr="008B4A7D">
        <w:rPr>
          <w:rFonts w:cs="Times New Roman"/>
        </w:rPr>
        <w:t xml:space="preserve">Find out more about relay calls and the other communication options for people who are deaf or have a hearing or speech impairment from </w:t>
      </w:r>
      <w:hyperlink r:id="rId27" w:history="1">
        <w:proofErr w:type="spellStart"/>
        <w:r w:rsidRPr="008B4A7D">
          <w:rPr>
            <w:rStyle w:val="Hyperlink"/>
            <w:sz w:val="22"/>
            <w:szCs w:val="22"/>
            <w:u w:val="single"/>
          </w:rPr>
          <w:t>Accesshub</w:t>
        </w:r>
        <w:proofErr w:type="spellEnd"/>
      </w:hyperlink>
      <w:r w:rsidRPr="008B4A7D">
        <w:rPr>
          <w:rStyle w:val="Hyperlink"/>
          <w:color w:val="auto"/>
          <w:sz w:val="22"/>
          <w:szCs w:val="22"/>
        </w:rPr>
        <w:t>.</w:t>
      </w:r>
    </w:p>
    <w:p w14:paraId="3AB2CE52" w14:textId="77777777" w:rsidR="000403BF" w:rsidRPr="00F071B0" w:rsidRDefault="000403BF" w:rsidP="000403BF">
      <w:pPr>
        <w:pStyle w:val="Heading2"/>
        <w:pBdr>
          <w:bottom w:val="single" w:sz="24" w:space="1" w:color="50748A"/>
        </w:pBdr>
        <w:rPr>
          <w:sz w:val="28"/>
        </w:rPr>
      </w:pPr>
      <w:r w:rsidRPr="009B5F45">
        <w:rPr>
          <w:sz w:val="28"/>
        </w:rPr>
        <w:t>Feedback</w:t>
      </w:r>
    </w:p>
    <w:p w14:paraId="5F0C57E7" w14:textId="0C086EB5" w:rsidR="000403BF" w:rsidRPr="00185B15" w:rsidRDefault="000403BF" w:rsidP="000403BF">
      <w:pPr>
        <w:rPr>
          <w:rFonts w:cs="Times New Roman"/>
        </w:rPr>
      </w:pPr>
      <w:r w:rsidRPr="00185B15">
        <w:rPr>
          <w:rFonts w:cs="Times New Roman"/>
        </w:rPr>
        <w:t>At the end of the process, you can see</w:t>
      </w:r>
      <w:r w:rsidR="00B706D8" w:rsidRPr="00185B15">
        <w:rPr>
          <w:rFonts w:cs="Times New Roman"/>
        </w:rPr>
        <w:t>k</w:t>
      </w:r>
      <w:r w:rsidRPr="00185B15">
        <w:rPr>
          <w:rFonts w:cs="Times New Roman"/>
        </w:rPr>
        <w:t xml:space="preserve"> feedback from the contact officer. </w:t>
      </w:r>
    </w:p>
    <w:p w14:paraId="779532AC" w14:textId="77777777" w:rsidR="000403BF" w:rsidRPr="000403BF" w:rsidRDefault="000403BF" w:rsidP="000403BF">
      <w:pPr>
        <w:tabs>
          <w:tab w:val="left" w:pos="1065"/>
        </w:tabs>
        <w:rPr>
          <w:rFonts w:cs="Times New Roman"/>
          <w:color w:val="595959"/>
        </w:rPr>
      </w:pPr>
    </w:p>
    <w:sectPr w:rsidR="000403BF" w:rsidRPr="000403BF" w:rsidSect="000403BF">
      <w:footerReference w:type="default" r:id="rId28"/>
      <w:pgSz w:w="11906" w:h="16838"/>
      <w:pgMar w:top="465"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3A97" w14:textId="77777777" w:rsidR="005250BF" w:rsidRDefault="005250BF" w:rsidP="00FC5039">
      <w:pPr>
        <w:spacing w:after="0" w:line="240" w:lineRule="auto"/>
      </w:pPr>
      <w:r>
        <w:separator/>
      </w:r>
    </w:p>
  </w:endnote>
  <w:endnote w:type="continuationSeparator" w:id="0">
    <w:p w14:paraId="40070342" w14:textId="77777777" w:rsidR="005250BF" w:rsidRDefault="005250BF" w:rsidP="00FC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301D" w14:textId="77777777" w:rsidR="00FC5039" w:rsidRDefault="00FC503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BE3359">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BE3359">
      <w:rPr>
        <w:noProof/>
        <w:color w:val="323E4F" w:themeColor="text2" w:themeShade="BF"/>
        <w:sz w:val="24"/>
        <w:szCs w:val="24"/>
      </w:rPr>
      <w:t>7</w:t>
    </w:r>
    <w:r>
      <w:rPr>
        <w:color w:val="323E4F" w:themeColor="text2" w:themeShade="BF"/>
        <w:sz w:val="24"/>
        <w:szCs w:val="24"/>
      </w:rPr>
      <w:fldChar w:fldCharType="end"/>
    </w:r>
  </w:p>
  <w:p w14:paraId="11B7A513" w14:textId="77777777" w:rsidR="00FC5039" w:rsidRDefault="00FC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6BC1" w14:textId="77777777" w:rsidR="005250BF" w:rsidRDefault="005250BF" w:rsidP="00FC5039">
      <w:pPr>
        <w:spacing w:after="0" w:line="240" w:lineRule="auto"/>
      </w:pPr>
      <w:r>
        <w:separator/>
      </w:r>
    </w:p>
  </w:footnote>
  <w:footnote w:type="continuationSeparator" w:id="0">
    <w:p w14:paraId="719E6447" w14:textId="77777777" w:rsidR="005250BF" w:rsidRDefault="005250BF" w:rsidP="00FC5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E7A"/>
    <w:multiLevelType w:val="hybridMultilevel"/>
    <w:tmpl w:val="4BF8B6F4"/>
    <w:lvl w:ilvl="0" w:tplc="34088C7A">
      <w:numFmt w:val="bullet"/>
      <w:lvlText w:val="•"/>
      <w:lvlJc w:val="left"/>
      <w:pPr>
        <w:ind w:left="720" w:hanging="360"/>
      </w:pPr>
      <w:rPr>
        <w:rFonts w:ascii="Calibri" w:eastAsia="Calibri" w:hAnsi="Calibri"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3706A"/>
    <w:multiLevelType w:val="hybridMultilevel"/>
    <w:tmpl w:val="B2E0B620"/>
    <w:lvl w:ilvl="0" w:tplc="7122B8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F2D20"/>
    <w:multiLevelType w:val="hybridMultilevel"/>
    <w:tmpl w:val="1AC69F2C"/>
    <w:lvl w:ilvl="0" w:tplc="8DEAB1F2">
      <w:start w:val="1"/>
      <w:numFmt w:val="bullet"/>
      <w:pStyle w:val="Bulletlevel1"/>
      <w:lvlText w:val=""/>
      <w:lvlJc w:val="left"/>
      <w:pPr>
        <w:ind w:left="360" w:hanging="360"/>
      </w:pPr>
      <w:rPr>
        <w:rFonts w:ascii="Symbol" w:hAnsi="Symbol" w:cs="Calibri" w:hint="default"/>
        <w:bCs w:val="0"/>
        <w:iCs w:val="0"/>
        <w:caps w:val="0"/>
        <w:strike w:val="0"/>
        <w:dstrike w:val="0"/>
        <w:vanish w:val="0"/>
        <w:color w:val="0F293A"/>
        <w:sz w:val="22"/>
        <w:szCs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7A59A5"/>
    <w:multiLevelType w:val="hybridMultilevel"/>
    <w:tmpl w:val="9D6CCA32"/>
    <w:lvl w:ilvl="0" w:tplc="95E2871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C7167A"/>
    <w:multiLevelType w:val="hybridMultilevel"/>
    <w:tmpl w:val="D0BC5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39"/>
    <w:rsid w:val="00010338"/>
    <w:rsid w:val="00024D7D"/>
    <w:rsid w:val="000403BF"/>
    <w:rsid w:val="00067187"/>
    <w:rsid w:val="00067470"/>
    <w:rsid w:val="000C2CD9"/>
    <w:rsid w:val="00123739"/>
    <w:rsid w:val="00161779"/>
    <w:rsid w:val="0016383D"/>
    <w:rsid w:val="00171B05"/>
    <w:rsid w:val="00184C79"/>
    <w:rsid w:val="00185B15"/>
    <w:rsid w:val="00190560"/>
    <w:rsid w:val="00196AD8"/>
    <w:rsid w:val="002358DE"/>
    <w:rsid w:val="00243655"/>
    <w:rsid w:val="00291F64"/>
    <w:rsid w:val="00391215"/>
    <w:rsid w:val="00396036"/>
    <w:rsid w:val="00404992"/>
    <w:rsid w:val="00442B9E"/>
    <w:rsid w:val="00470B8A"/>
    <w:rsid w:val="004915D0"/>
    <w:rsid w:val="004A0CAE"/>
    <w:rsid w:val="004B1184"/>
    <w:rsid w:val="004B385D"/>
    <w:rsid w:val="005250BF"/>
    <w:rsid w:val="00541B52"/>
    <w:rsid w:val="005A3CED"/>
    <w:rsid w:val="005D7090"/>
    <w:rsid w:val="005E19A1"/>
    <w:rsid w:val="006076F4"/>
    <w:rsid w:val="00627A56"/>
    <w:rsid w:val="00656FFE"/>
    <w:rsid w:val="006646ED"/>
    <w:rsid w:val="006878FA"/>
    <w:rsid w:val="006B4CD4"/>
    <w:rsid w:val="006B636B"/>
    <w:rsid w:val="006C29F8"/>
    <w:rsid w:val="006F0744"/>
    <w:rsid w:val="00734F5B"/>
    <w:rsid w:val="007640BB"/>
    <w:rsid w:val="00792223"/>
    <w:rsid w:val="007B611E"/>
    <w:rsid w:val="007D0980"/>
    <w:rsid w:val="00821C34"/>
    <w:rsid w:val="008B4A7D"/>
    <w:rsid w:val="008B5E09"/>
    <w:rsid w:val="00903D6A"/>
    <w:rsid w:val="009410DB"/>
    <w:rsid w:val="009C3B06"/>
    <w:rsid w:val="009D5B91"/>
    <w:rsid w:val="009D66E1"/>
    <w:rsid w:val="00A12523"/>
    <w:rsid w:val="00A21746"/>
    <w:rsid w:val="00A62D0A"/>
    <w:rsid w:val="00A94F65"/>
    <w:rsid w:val="00AD7BD8"/>
    <w:rsid w:val="00B47139"/>
    <w:rsid w:val="00B706D8"/>
    <w:rsid w:val="00B736A8"/>
    <w:rsid w:val="00B75E36"/>
    <w:rsid w:val="00BE3359"/>
    <w:rsid w:val="00BE3DC5"/>
    <w:rsid w:val="00BF580D"/>
    <w:rsid w:val="00C572D6"/>
    <w:rsid w:val="00C63CE9"/>
    <w:rsid w:val="00C85A16"/>
    <w:rsid w:val="00C91240"/>
    <w:rsid w:val="00CB52BE"/>
    <w:rsid w:val="00CD151F"/>
    <w:rsid w:val="00D069D0"/>
    <w:rsid w:val="00D61C22"/>
    <w:rsid w:val="00DB11E6"/>
    <w:rsid w:val="00DB44B4"/>
    <w:rsid w:val="00E654C9"/>
    <w:rsid w:val="00E71D9E"/>
    <w:rsid w:val="00EF4618"/>
    <w:rsid w:val="00F208B5"/>
    <w:rsid w:val="00F83C9F"/>
    <w:rsid w:val="00F84A2F"/>
    <w:rsid w:val="00FA3C36"/>
    <w:rsid w:val="00FC0630"/>
    <w:rsid w:val="00FC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C85B"/>
  <w15:chartTrackingRefBased/>
  <w15:docId w15:val="{B65C2C2A-2F2B-46D2-BF49-F76F5A58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5039"/>
    <w:pPr>
      <w:keepNext/>
      <w:spacing w:before="240" w:after="60" w:line="240" w:lineRule="auto"/>
      <w:outlineLvl w:val="1"/>
    </w:pPr>
    <w:rPr>
      <w:rFonts w:ascii="Calibri" w:eastAsia="SimSun" w:hAnsi="Calibri" w:cs="Angsana New"/>
      <w:b/>
      <w:bCs/>
      <w:iCs/>
      <w:color w:val="4D738A"/>
      <w:w w:val="105"/>
      <w:kern w:val="40"/>
      <w:sz w:val="40"/>
      <w:szCs w:val="48"/>
      <w:lang w:val="en-AU"/>
    </w:rPr>
  </w:style>
  <w:style w:type="paragraph" w:styleId="Heading4">
    <w:name w:val="heading 4"/>
    <w:basedOn w:val="Normal"/>
    <w:next w:val="Normal"/>
    <w:link w:val="Heading4Char"/>
    <w:uiPriority w:val="9"/>
    <w:semiHidden/>
    <w:unhideWhenUsed/>
    <w:qFormat/>
    <w:rsid w:val="00FC5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39"/>
  </w:style>
  <w:style w:type="paragraph" w:styleId="Footer">
    <w:name w:val="footer"/>
    <w:basedOn w:val="Normal"/>
    <w:link w:val="FooterChar"/>
    <w:uiPriority w:val="99"/>
    <w:unhideWhenUsed/>
    <w:rsid w:val="00FC5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39"/>
  </w:style>
  <w:style w:type="table" w:styleId="TableGrid">
    <w:name w:val="Table Grid"/>
    <w:basedOn w:val="TableNormal"/>
    <w:uiPriority w:val="59"/>
    <w:rsid w:val="00FC5039"/>
    <w:pPr>
      <w:spacing w:before="200"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5039"/>
    <w:rPr>
      <w:rFonts w:ascii="Calibri" w:eastAsia="SimSun" w:hAnsi="Calibri" w:cs="Angsana New"/>
      <w:b/>
      <w:bCs/>
      <w:iCs/>
      <w:color w:val="4D738A"/>
      <w:w w:val="105"/>
      <w:kern w:val="40"/>
      <w:sz w:val="40"/>
      <w:szCs w:val="48"/>
      <w:lang w:val="en-AU"/>
    </w:rPr>
  </w:style>
  <w:style w:type="character" w:customStyle="1" w:styleId="Heading4Char">
    <w:name w:val="Heading 4 Char"/>
    <w:basedOn w:val="DefaultParagraphFont"/>
    <w:link w:val="Heading4"/>
    <w:uiPriority w:val="9"/>
    <w:semiHidden/>
    <w:rsid w:val="00FC5039"/>
    <w:rPr>
      <w:rFonts w:asciiTheme="majorHAnsi" w:eastAsiaTheme="majorEastAsia" w:hAnsiTheme="majorHAnsi" w:cstheme="majorBidi"/>
      <w:i/>
      <w:iCs/>
      <w:color w:val="2E74B5" w:themeColor="accent1" w:themeShade="BF"/>
    </w:rPr>
  </w:style>
  <w:style w:type="paragraph" w:customStyle="1" w:styleId="Default">
    <w:name w:val="Default"/>
    <w:rsid w:val="00FC5039"/>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paragraph" w:styleId="ListParagraph">
    <w:name w:val="List Paragraph"/>
    <w:basedOn w:val="Normal"/>
    <w:uiPriority w:val="34"/>
    <w:qFormat/>
    <w:rsid w:val="000403BF"/>
    <w:pPr>
      <w:spacing w:before="200" w:after="200" w:line="276" w:lineRule="auto"/>
      <w:ind w:left="720"/>
      <w:contextualSpacing/>
    </w:pPr>
    <w:rPr>
      <w:rFonts w:ascii="Calibri" w:eastAsia="Times New Roman" w:hAnsi="Calibri" w:cs="Times New Roman"/>
      <w:sz w:val="20"/>
      <w:szCs w:val="20"/>
      <w:lang w:val="en-AU" w:eastAsia="en-AU"/>
    </w:rPr>
  </w:style>
  <w:style w:type="table" w:styleId="TableGridLight">
    <w:name w:val="Grid Table Light"/>
    <w:basedOn w:val="TableNormal"/>
    <w:uiPriority w:val="40"/>
    <w:rsid w:val="000403BF"/>
    <w:pPr>
      <w:spacing w:after="0" w:line="240" w:lineRule="auto"/>
    </w:pPr>
    <w:rPr>
      <w:rFonts w:ascii="Calibri" w:eastAsia="Calibri" w:hAnsi="Calibri" w:cs="Times New Roman"/>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rsid w:val="000403BF"/>
    <w:rPr>
      <w:color w:val="00467F"/>
      <w:sz w:val="20"/>
      <w:szCs w:val="20"/>
      <w:u w:val="none"/>
    </w:rPr>
  </w:style>
  <w:style w:type="character" w:styleId="FollowedHyperlink">
    <w:name w:val="FollowedHyperlink"/>
    <w:basedOn w:val="DefaultParagraphFont"/>
    <w:uiPriority w:val="99"/>
    <w:semiHidden/>
    <w:unhideWhenUsed/>
    <w:rsid w:val="000403BF"/>
    <w:rPr>
      <w:color w:val="954F72" w:themeColor="followedHyperlink"/>
      <w:u w:val="single"/>
    </w:rPr>
  </w:style>
  <w:style w:type="paragraph" w:customStyle="1" w:styleId="Bulletlevel1">
    <w:name w:val="Bullet level 1"/>
    <w:basedOn w:val="Normal"/>
    <w:qFormat/>
    <w:rsid w:val="00734F5B"/>
    <w:pPr>
      <w:numPr>
        <w:numId w:val="5"/>
      </w:numPr>
      <w:spacing w:after="200" w:line="240" w:lineRule="auto"/>
      <w:ind w:left="567" w:hanging="567"/>
      <w:contextualSpacing/>
    </w:pPr>
    <w:rPr>
      <w:lang w:val="en-AU"/>
    </w:rPr>
  </w:style>
  <w:style w:type="character" w:styleId="IntenseEmphasis">
    <w:name w:val="Intense Emphasis"/>
    <w:basedOn w:val="DefaultParagraphFont"/>
    <w:uiPriority w:val="21"/>
    <w:qFormat/>
    <w:rsid w:val="00FC0630"/>
    <w:rPr>
      <w:i/>
      <w:iCs/>
      <w:color w:val="000000"/>
    </w:rPr>
  </w:style>
  <w:style w:type="paragraph" w:styleId="NoSpacing">
    <w:name w:val="No Spacing"/>
    <w:basedOn w:val="Normal"/>
    <w:link w:val="NoSpacingChar"/>
    <w:uiPriority w:val="1"/>
    <w:qFormat/>
    <w:rsid w:val="00541B52"/>
    <w:pPr>
      <w:spacing w:after="0" w:line="240" w:lineRule="auto"/>
    </w:pPr>
    <w:rPr>
      <w:rFonts w:ascii="Calibri" w:eastAsia="Times New Roman" w:hAnsi="Calibri" w:cs="Times New Roman"/>
      <w:sz w:val="20"/>
      <w:szCs w:val="20"/>
      <w:lang w:val="en-AU" w:eastAsia="en-AU"/>
    </w:rPr>
  </w:style>
  <w:style w:type="character" w:customStyle="1" w:styleId="NoSpacingChar">
    <w:name w:val="No Spacing Char"/>
    <w:link w:val="NoSpacing"/>
    <w:uiPriority w:val="1"/>
    <w:rsid w:val="00541B52"/>
    <w:rPr>
      <w:rFonts w:ascii="Calibri" w:eastAsia="Times New Roman" w:hAnsi="Calibri" w:cs="Times New Roman"/>
      <w:sz w:val="20"/>
      <w:szCs w:val="20"/>
      <w:lang w:val="en-AU" w:eastAsia="en-AU"/>
    </w:rPr>
  </w:style>
  <w:style w:type="character" w:styleId="UnresolvedMention">
    <w:name w:val="Unresolved Mention"/>
    <w:basedOn w:val="DefaultParagraphFont"/>
    <w:uiPriority w:val="99"/>
    <w:semiHidden/>
    <w:unhideWhenUsed/>
    <w:rsid w:val="00541B52"/>
    <w:rPr>
      <w:color w:val="605E5C"/>
      <w:shd w:val="clear" w:color="auto" w:fill="E1DFDD"/>
    </w:rPr>
  </w:style>
  <w:style w:type="character" w:styleId="CommentReference">
    <w:name w:val="annotation reference"/>
    <w:basedOn w:val="DefaultParagraphFont"/>
    <w:uiPriority w:val="99"/>
    <w:semiHidden/>
    <w:unhideWhenUsed/>
    <w:rsid w:val="00EF4618"/>
    <w:rPr>
      <w:sz w:val="16"/>
      <w:szCs w:val="16"/>
    </w:rPr>
  </w:style>
  <w:style w:type="paragraph" w:styleId="CommentText">
    <w:name w:val="annotation text"/>
    <w:basedOn w:val="Normal"/>
    <w:link w:val="CommentTextChar"/>
    <w:uiPriority w:val="99"/>
    <w:semiHidden/>
    <w:unhideWhenUsed/>
    <w:rsid w:val="00EF4618"/>
    <w:pPr>
      <w:spacing w:line="240" w:lineRule="auto"/>
    </w:pPr>
    <w:rPr>
      <w:sz w:val="20"/>
      <w:szCs w:val="20"/>
    </w:rPr>
  </w:style>
  <w:style w:type="character" w:customStyle="1" w:styleId="CommentTextChar">
    <w:name w:val="Comment Text Char"/>
    <w:basedOn w:val="DefaultParagraphFont"/>
    <w:link w:val="CommentText"/>
    <w:uiPriority w:val="99"/>
    <w:semiHidden/>
    <w:rsid w:val="00EF4618"/>
    <w:rPr>
      <w:sz w:val="20"/>
      <w:szCs w:val="20"/>
    </w:rPr>
  </w:style>
  <w:style w:type="paragraph" w:styleId="CommentSubject">
    <w:name w:val="annotation subject"/>
    <w:basedOn w:val="CommentText"/>
    <w:next w:val="CommentText"/>
    <w:link w:val="CommentSubjectChar"/>
    <w:uiPriority w:val="99"/>
    <w:semiHidden/>
    <w:unhideWhenUsed/>
    <w:rsid w:val="00EF4618"/>
    <w:rPr>
      <w:b/>
      <w:bCs/>
    </w:rPr>
  </w:style>
  <w:style w:type="character" w:customStyle="1" w:styleId="CommentSubjectChar">
    <w:name w:val="Comment Subject Char"/>
    <w:basedOn w:val="CommentTextChar"/>
    <w:link w:val="CommentSubject"/>
    <w:uiPriority w:val="99"/>
    <w:semiHidden/>
    <w:rsid w:val="00EF4618"/>
    <w:rPr>
      <w:b/>
      <w:bCs/>
      <w:sz w:val="20"/>
      <w:szCs w:val="20"/>
    </w:rPr>
  </w:style>
  <w:style w:type="paragraph" w:styleId="BalloonText">
    <w:name w:val="Balloon Text"/>
    <w:basedOn w:val="Normal"/>
    <w:link w:val="BalloonTextChar"/>
    <w:uiPriority w:val="99"/>
    <w:semiHidden/>
    <w:unhideWhenUsed/>
    <w:rsid w:val="00EF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96608">
      <w:bodyDiv w:val="1"/>
      <w:marLeft w:val="0"/>
      <w:marRight w:val="0"/>
      <w:marTop w:val="0"/>
      <w:marBottom w:val="0"/>
      <w:divBdr>
        <w:top w:val="none" w:sz="0" w:space="0" w:color="auto"/>
        <w:left w:val="none" w:sz="0" w:space="0" w:color="auto"/>
        <w:bottom w:val="none" w:sz="0" w:space="0" w:color="auto"/>
        <w:right w:val="none" w:sz="0" w:space="0" w:color="auto"/>
      </w:divBdr>
    </w:div>
    <w:div w:id="15857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gov.au/About/Careers/Pages/default.aspx" TargetMode="External"/><Relationship Id="rId18" Type="http://schemas.openxmlformats.org/officeDocument/2006/relationships/hyperlink" Target="https://www.ag.gov.au/about-us/careers/what-we-expect" TargetMode="External"/><Relationship Id="rId26" Type="http://schemas.openxmlformats.org/officeDocument/2006/relationships/hyperlink" Target="https://www.communications.gov.au/node/19659" TargetMode="External"/><Relationship Id="rId3" Type="http://schemas.openxmlformats.org/officeDocument/2006/relationships/styles" Target="styles.xml"/><Relationship Id="rId21" Type="http://schemas.openxmlformats.org/officeDocument/2006/relationships/hyperlink" Target="https://www.apsc.gov.au/recruitability-scheme-guide-applicants" TargetMode="External"/><Relationship Id="rId7" Type="http://schemas.openxmlformats.org/officeDocument/2006/relationships/endnotes" Target="endnotes.xml"/><Relationship Id="rId12" Type="http://schemas.openxmlformats.org/officeDocument/2006/relationships/hyperlink" Target="https://www.ag.gov.au/about-us/careers/what-we-expect" TargetMode="External"/><Relationship Id="rId17" Type="http://schemas.openxmlformats.org/officeDocument/2006/relationships/hyperlink" Target="mailto:HR.Assist@ag.gov.au" TargetMode="External"/><Relationship Id="rId25" Type="http://schemas.openxmlformats.org/officeDocument/2006/relationships/hyperlink" Target="mailto:helpdesk@relayservice.com.au" TargetMode="External"/><Relationship Id="rId2" Type="http://schemas.openxmlformats.org/officeDocument/2006/relationships/numbering" Target="numbering.xml"/><Relationship Id="rId16" Type="http://schemas.openxmlformats.org/officeDocument/2006/relationships/hyperlink" Target="http://www.ag.gov.au/About/Careers/Pages/default.aspx" TargetMode="External"/><Relationship Id="rId20" Type="http://schemas.openxmlformats.org/officeDocument/2006/relationships/hyperlink" Target="http://www.ag.gov.au/About/Careers/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gov.au/about/pages/workplacediversity.asp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ndrew.shepherd@ag.gov.au"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s://www.ag.gov.au/about-us/careers/what-we-expect" TargetMode="External"/><Relationship Id="rId19" Type="http://schemas.openxmlformats.org/officeDocument/2006/relationships/hyperlink" Target="http://www.ag.gov.au/About/Careers/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R.Assist@ag.gov.au" TargetMode="External"/><Relationship Id="rId22" Type="http://schemas.openxmlformats.org/officeDocument/2006/relationships/hyperlink" Target="https://www.apsc.gov.au/working-aps/diversity-and-inclusion/disability/recruitability/recruitability-scheme-guide-applicants" TargetMode="External"/><Relationship Id="rId27" Type="http://schemas.openxmlformats.org/officeDocument/2006/relationships/hyperlink" Target="http://www.communications.gov.au/accesshu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92711-C385-42B0-A3A0-3AE3CAD4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constt</dc:creator>
  <cp:keywords/>
  <dc:description/>
  <cp:lastModifiedBy>Fletcher, Joseph</cp:lastModifiedBy>
  <cp:revision>2</cp:revision>
  <dcterms:created xsi:type="dcterms:W3CDTF">2022-08-04T00:54:00Z</dcterms:created>
  <dcterms:modified xsi:type="dcterms:W3CDTF">2022-08-04T00:54:00Z</dcterms:modified>
</cp:coreProperties>
</file>